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Blackstone Real Estate Income Trust Inc (non-traded REIT ('34 Act reporting), CIK 1662972)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FULL printed monthly NAV/share series, Class I, Jan 2023 - Dec 2025 (36 points) + Jun 2026 from the 10-Q - structured at data/series_monthly/breit_nav.csv (adversarially verified vs raw HTML; Jan-May 2026 not printed any</w:t>
              <w:br/>
              <w:t>1.2: FY2025 10-K '2025 Highlights' table (classes in order I | S | S-2 | D | D-2 | T | T-2): Year-to-Date (2025) Total Return, without upfront selling commissions: 8.1% | 7.2% | 3.2% | 7.8% | 3.1% | 7.2% | 3.4%; assuming maxi</w:t>
              <w:br/>
              <w:t>1.4: EXTENSION (tax character + per-class detail, FY2025 10-K): Distributions for the year ended December 31, 2025 were characterized for federal income tax purposes as 100% return of capital (0% ordinary income, 0% capital g</w:t>
              <w:br/>
              <w:t>1.5: BREIT owns real estate directly (wholly owned and via JVs) - there are no underlying GP funds, so no underlying fund IRR table exists in the filings. Closest printed sleeve-level performance (FY2025 10-K, Same Property N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>2.1: 1.25% of NAV per annum, payable monthly (can be paid in cash or shares). Side fee: 1.0% of gross rents on DST program assets.</w:t>
              <w:br/>
              <w:t>2.2: Performance participation w/ hurdle + high-water mechanics - AND a live miss: FY2024 total return did not exceed the hurdle, producing a $105.0M Quarterly Shortfall; from 1/1/2025 the 2024 Shortfall Obligation accrues 5%</w:t>
              <w:br/>
              <w:t>2.4: Not applicable — none exists: BREIT is a 10-K filer (non-'40-Act REIT) with no 1940-Act-style fee table; no 'Acquired Fund Fees and Expenses' line exists and none can (AFFE is a 1940-Act registered-fund disclosure). Sear</w:t>
              <w:br/>
              <w:t>2.6: As of December 31, 2025 (Item 5 table): selling commissions and dealer manager fees (% of transaction price) up to 3.5% for Class S, S-2, T, T-2; up to 1.5% for Class D, D-2. Stockholder servicing fee (% of NAV): 0.85% f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>3.1: Repurchase caps: 2% of aggregate NAV per MONTH, 5% per QUARTER (measured on prior-period NAV; Early Repurchase Deduction excluded). Board may modify/suspend if requests burden liquidity.</w:t>
              <w:br/>
              <w:t>3.2: Mechanics as printed in FY2025 10-K (Item 5 - Share Repurchases; repeated in Note 14): CADENCE/PRICING DATE - repurchases only as of the opening of the last calendar day of each month (the 'Repurchase Date'); price = tra</w:t>
              <w:br/>
              <w:t>3.3: Quantified from FY2025 10-K: common stock repurchased FY2023 $12.42B -&gt; FY2024 $9.31B -&gt; FY2025 $6.13B (cash-flow statement $000s: 12,419,310 / 9,307,418 / 6,132,773) - a declining exit wave. FY2025 fulfilled $6.2B = ALL</w:t>
              <w:br/>
              <w:t>3.4: Liquidity of $6.7 billion as of February 26, 2026: $5.6 billion available under undrawn revolving credit facilities plus $1.1 billion unrestricted cash and cash equivalents; also $0.2 billion expected disposition proceed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>4.1: NAV frequency: monthly — 'We calculate and publish NAV monthly' solely for establishing monthly sale/repurchase price. Who values: the Adviser (BX REIT Advisors L.L.C.) calculates fair value of real estate properties mon</w:t>
              <w:br/>
              <w:t>4.2: Recurring fair-value table ($K). December 31, 2025 - ASSETS: Investments in real estate debt L1 $0 / L2 $3,282,457 / L3 $754,693 / total $4,037,150; Real estate loans held by consolidated securitization vehicles L2 $6,97</w:t>
              <w:br/>
              <w:t>4.3: PARTIAL: the 10-K repeatedly references 'an independent valuation advisor' that reviews monthly property valuations and monthly/quarterly real estate debt valuations for reasonableness (and reviews Adviser valuation assu</w:t>
              <w:br/>
              <w:t>4.4: COMPLETE weighted-average DCF assumptions by property type (12/31/2025): Rental Housing 7.2% discount / 5.4% exit cap; Industrial 7.5% / 5.5%; Net Lease 6.6% / 5.6%; Hospitality 10.8% / 9.0%; Data Centers 8.3% / 6.1%; Se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ABSENCE DOCUMENTED: BREIT declares NO benchmark index anywhere in the FY2025 10-K. Zero hits for MSCI, ODCE, or FTSE Nareit; NCREIF appears only as a geography taxonomy ('Region Concentration represents regions as define</w:t>
              <w:br/>
              <w:t xml:space="preserve">5.3: Alt-index candidates evaluated: NCREIF ODCE (private core RE - strategy-exact, SECONDARY at 8/12; index data is member/subscription distribution, series not held); Cambridge Associates RE (7/12, outranked; licensed data </w:t>
              <w:br/>
              <w:t>5.4: Peer cohort nontraded_reit (n=3: breit, sreit, jll_ipt). Equal-weight annual composite on printed fiscal-year returns for years with 2 or more reporting members: 2025 (n=2). Wrapper types in the cohort: nontraded_reit. C</w:t>
              <w:br/>
              <w:t>5.5: PME inputs (computed): window 2022-12-31 to 2025-12-31; flows [-1 at start, 1.0971 at end] built from PRINTED Class I calendar-year total returns (-0.5%, 2.0%, 8.1% - cells 1.2, three 10-Ks cited there); index VNQ adj-cl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 xml:space="preserve">6.1: Blackstone Real Estate Income Trust, Inc.: Maryland corporation incorporated November 16, 2015; non-listed, perpetual-life REIT (REIT election commencing taxable year ended December 31, 2017). UPREIT structure: BREIT is </w:t>
              <w:br/>
              <w:t>6.2: Strategy: invests primarily in stabilized, income-generating commercial real estate across asset classes in the U.S. (and to a lesser extent outside the U.S.), plus real estate debt to a lesser extent. Nine reportable se</w:t>
              <w:br/>
              <w:t>6.3: Note 10 'Related Party and Other Transactions' (FY2025): Due to affiliates $791,741K at Dec 31, 2025 (accrued stockholder servicing fee $724,771K; accrued management fee $56,818K; other $10,152K). Management fee 1.25% of</w:t>
              <w:br/>
              <w:t>6.4: PARTIAL: investor tax form NOT named in on-disk filings - searched 10-K 2026-02-27 and 10-Q 2026-08-07 for '1099'/'K-1'/'Schedule K': only XBRL context-id artifacts, no Form 1099 text. What IS printed: REIT election effe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REIT investable proxy (VNQ) (score 9/12)</w:t>
      </w:r>
    </w:p>
    <w:p>
      <w:r>
        <w:t>Window 2022-12-31 to 2025-12-31: fund 3.14%/yr vs benchmark 6.57%/yr, KS-PME 0.9073, Direct Alpha -3.19%/yr. Disclosure: PME and alpha computed on appraisal-lagged NAVs are window-sensitive and can be smoothing-flattered. Conclusions should be read with the methodology's window-sensitivity analysis.</w:t>
      </w:r>
    </w:p>
    <w:p>
      <w:pPr>
        <w:pStyle w:val="ListBullet"/>
      </w:pPr>
      <w:r>
        <w:t>strategy_match 2/3: listed equity REITs - same asset class, but exchange pricing vs monthly appraisal NAV is a regime difference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NCREIF Fund Index - ODCE (private core RE) (score 8/12)</w:t>
      </w:r>
    </w:p>
    <w:p>
      <w:pPr>
        <w:pStyle w:val="ListBullet"/>
      </w:pPr>
      <w:r>
        <w:t>strategy_match 3/3: private open-end core RE funds, the strategy-exact yardstick. Index data is member/subscription distribution, series not held</w:t>
      </w:r>
    </w:p>
    <w:p>
      <w:pPr>
        <w:pStyle w:val="ListBullet"/>
      </w:pPr>
      <w:r>
        <w:t>risk_liquidity_match 2/3: appraisal-cadence series, closer to the fund's NAV process</w:t>
      </w:r>
    </w:p>
    <w:p>
      <w:pPr>
        <w:pStyle w:val="ListBullet"/>
      </w:pPr>
      <w:r>
        <w:t>investability 0/2: not investable / not held</w:t>
      </w:r>
    </w:p>
    <w:p>
      <w:pPr>
        <w:pStyle w:val="ListBullet"/>
      </w:pPr>
      <w:r>
        <w:t>data_quality 1/2: quarterly-manual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VNQ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Real Estate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nontraded_reit (breit, sreit, jll_ipt)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Non-traded NAV REITs (n=3). Membership rationale: Non-traded monthly-NAV REIT with 2%/5% repurchase plan - the cohort's reference member.</w:t>
      </w:r>
    </w:p>
    <w:p>
      <w:r>
        <w:t>Cohort placement (nontraded_reit, R4 phrasing): mgmt fee: at the cohort median of 1.25 (n=3, too small for percentile language) | expense ratio (bases differ, see notes): fact unavailable for this member | repurchase cap: below the cohort median of 3.5 (n=2, too small for percentile language). Stats and per-member values in data/cohorts/nontraded_reit.json, membership rationales in data/facts.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12, extracted: 20, fetched: 1, n/a: 14, partial: 7.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