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Evaluation: Decision Memo</w:t>
      </w:r>
    </w:p>
    <w:p>
      <w:r>
        <w:rPr>
          <w:b/>
        </w:rPr>
        <w:t>Plan: US media/technology company 401(k) plan (~$570M, New York)</w:t>
        <w:br/>
      </w:r>
      <w:r>
        <w:t>Product: CION Ares Diversified Credit Fund (interval fund (Rule 23c-3, quarterly repurchases), CIK 1678124)</w:t>
        <w:br/>
      </w:r>
      <w:r>
        <w:t>Date: 2026-09-04    Status: DRAFT (demo build).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process.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DIA.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2026).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1. Performance</w:t>
            </w:r>
          </w:p>
        </w:tc>
        <w:tc>
          <w:tcPr>
            <w:tcW w:type="dxa" w:w="7344"/>
          </w:tcPr>
          <w:p>
            <w:r>
              <w:t>1.1: Daily NAV series exists (NAV determined daily). NAV per share at 12/31/2025: Class A $24.85, C $24.73, I $25.09, L $24.92, U $24.99, U-2 $24.96, W $25.11. Prior Class I year-end NAVs: $25.36 (2024), $25.23 (2023), $24.12</w:t>
              <w:br/>
              <w:t>1.2: Calendar-year total returns at NAV, Class I, excluding expense support: 2025 +7.55%, 2024 +10.17%, 2023 +13.79%, 2022 (1.62)%, 2021 +8.90%, 2020 +3.55% (incl. expense support +3.12%), two-month period ended 12/31/2019 +2</w:t>
              <w:br/>
              <w:t>1.3: Gross-of-fee return series is not published. Documented gross-vs-net markers: portfolio current yield 9.19% 'calculated without the deduction of fees and expenses' vs distribution rate 8.48% (Class I) and NII ratio 8.05%</w:t>
              <w:br/>
              <w:t>1.4: Distributions declared daily from net investment income, paid or reinvested monthly. FY2025 total distributions $393,470K (FY2024 $340,902K); Class I $2.13/share (2024 $2.33, 2023 $2.09, 2022 $1.48, 2021 $1.39). Tax char</w:t>
            </w:r>
          </w:p>
        </w:tc>
      </w:tr>
      <w:tr>
        <w:tc>
          <w:tcPr>
            <w:tcW w:type="dxa" w:w="2016"/>
          </w:tcPr>
          <w:p>
            <w:r>
              <w:t>2. Fees</w:t>
            </w:r>
          </w:p>
        </w:tc>
        <w:tc>
          <w:tcPr>
            <w:tcW w:type="dxa" w:w="7344"/>
          </w:tcPr>
          <w:p>
            <w:r>
              <w:t>2.1: Management Fee: 1.25% per annum of the average daily value of the Fund's MANAGED ASSETS (leverage-inclusive base), calculated and payable monthly. 'Managed Assets' = total assets (including assets attributable to Preferr</w:t>
              <w:br/>
              <w:t>2.2: Incentive fee on income only: 15% of each share class's 'pre-incentive fee net investment income' (interest + dividend + other income minus class operating expenses incl. management fee, administration reimbursements and</w:t>
              <w:br/>
              <w:t>2.3: Prospectus fee table (as % of average net assets, assuming FY2025 actual average leverage of 50.63% of net assets) — Total annual fund expenses: Class A 7.10%, C 7.74%, I 6.90%, L 7.33%, U 7.54%, U-2 7.54%, W 7.32% (comp</w:t>
              <w:br/>
              <w:t>2.6: Maximum sales loads: Class A 5.75% (up to 5.00% commission + up to 0.75% dealer manager fee), L 4.25%, W 3.00%, U-2 2.50%; C, I, U none. CDSC: Class C 1.00% of original purchase price if repurchased within 365 days (waiv</w:t>
            </w:r>
          </w:p>
        </w:tc>
      </w:tr>
      <w:tr>
        <w:tc>
          <w:tcPr>
            <w:tcW w:type="dxa" w:w="2016"/>
          </w:tcPr>
          <w:p>
            <w:r>
              <w:t>3. Liquidity</w:t>
            </w:r>
          </w:p>
        </w:tc>
        <w:tc>
          <w:tcPr>
            <w:tcW w:type="dxa" w:w="7344"/>
          </w:tcPr>
          <w:p>
            <w:r>
              <w:t xml:space="preserve">3.1: Interval fund under Rule 23c-3: continuous daily offering at NAV (plus loads where applicable); NO daily redemption. Liquidity is limited to quarterly repurchase offers of between 5% and 25% of outstanding shares at NAV </w:t>
              <w:br/>
              <w:t>3.2: Mechanics: Board sets Repurchase Offer Amount (5%-25% floor/cap); notice sent 21-42 days before Repurchase Request Deadline; NAV pricing no later than the 14th calendar day after the deadline (in the June 2026 offer, pri</w:t>
              <w:br/>
              <w:t>3.3: FY2025 repurchase history — all four quarterly offers at the 5.00% minimum, and ALL UNDERSUBSCRIBED (no proration, no gates): Q4-2024 deadline repurchased 1/9/2025: 3,596K shares at $25.31 = $91,021K (2.09% of outstandin</w:t>
              <w:br/>
              <w:t>3.4: Portfolio is predominantly illiquid: Level 3 assets $6,014,288K = 78.8% of $7,636,217K investments; 81% directly originated private credit; holdings 'generally subject to legal and other restrictions on resale or otherwi</w:t>
            </w:r>
          </w:p>
        </w:tc>
      </w:tr>
      <w:tr>
        <w:tc>
          <w:tcPr>
            <w:tcW w:type="dxa" w:w="2016"/>
          </w:tcPr>
          <w:p>
            <w:r>
              <w:t>4. Valuation</w:t>
            </w:r>
          </w:p>
        </w:tc>
        <w:tc>
          <w:tcPr>
            <w:tcW w:type="dxa" w:w="7344"/>
          </w:tcPr>
          <w:p>
            <w:r>
              <w:t>4.1: NAV determined DAILY (each NYSE trading day), per class, by the Adviser as Board-designated valuation designee under Rule 2a-5. All investments at fair value; market quotations validated; non-quoted assets fair-valued pe</w:t>
              <w:br/>
              <w:t>4.2: 12/31/2025 fair-value hierarchy (investments, $K): Level 1 $1,642 (0.02%), Level 2 $1,620,287 (21.2%), Level 3 $6,014,288 (78.8%), total $7,636,217. Level 3 concentrated in senior loans ($4,145,076), CLOs ($752,414), pre</w:t>
              <w:br/>
              <w:t>4.3: No named independent valuation agent. The ADVISER ITSELF is the valuation designee (Rule 2a-5) subject to Board oversight; it 'may utilize independent third-party pricing and valuation services to assist' but no independ</w:t>
              <w:br/>
              <w:t>4.4: By asset type: quoted/observable assets — market quotations, dealer quotes, pricing services (L1/L2). Level 3 corporate credit: (i) enterprise-value analysis (EBITDA/revenue multiples from comparables, or DCF at WACC; us</w:t>
            </w:r>
          </w:p>
        </w:tc>
      </w:tr>
      <w:tr>
        <w:tc>
          <w:tcPr>
            <w:tcW w:type="dxa" w:w="2016"/>
          </w:tcPr>
          <w:p>
            <w:r>
              <w:t>5. Performance Benchmarks</w:t>
            </w:r>
          </w:p>
        </w:tc>
        <w:tc>
          <w:tcPr>
            <w:tcW w:type="dxa" w:w="7344"/>
          </w:tcPr>
          <w:p>
            <w:r>
              <w:t>5.1: Self-declared broad-based benchmark: Credit Suisse Leveraged Loan Index (CSLLI) — 'deemed to be an appropriate broad-based securities market index for the Fund' in the annual report's required performance presentation (h</w:t>
              <w:br/>
              <w:t>5.2: Public index reference points cited for 2025 in the shareholder letter: syndicated loans +5.94% (S&amp;P UBS Leveraged Loan Index), high yield +8.50% (ICE BofA US High Yield Index), S&amp;P 500 +17.86%, Bloomberg Aggregate +7.30</w:t>
              <w:br/>
              <w:t>5.3: Candidates evaluated incl. paid/manual indices (CDLI 6/12 - below threshold, provider is a fund adviser in the cohort), with the peer cohort a real lane-C candidate (7/12 - reaches threshold, outranked by BKLN primary/se</w:t>
              <w:br/>
              <w:t>5.4: Peer cohort private_credit (n=5: cliffwater_cclfx, bcred, pflex, cion_ares, ocic). Equal-weight annual composite on printed fiscal-year returns for years with 2 or more reporting members: 2021 (n=5), 2022 (n=5), 2023 (n=</w:t>
            </w:r>
          </w:p>
        </w:tc>
      </w:tr>
      <w:tr>
        <w:tc>
          <w:tcPr>
            <w:tcW w:type="dxa" w:w="2016"/>
          </w:tcPr>
          <w:p>
            <w:r>
              <w:t>6. Complexity</w:t>
            </w:r>
          </w:p>
        </w:tc>
        <w:tc>
          <w:tcPr>
            <w:tcW w:type="dxa" w:w="7344"/>
          </w:tcPr>
          <w:p>
            <w:r>
              <w:t>6.1: Structure: Delaware statutory trust (organized 6/21/2016), diversified closed-end management company registered under the 1940 Act, operated as a continuously offered INTERVAL FUND (Rule 23c-3), unlisted; RIC for tax. Se</w:t>
              <w:br/>
              <w:t>6.2: High complexity, multi-sleeve global credit: &gt;=80% of Managed Assets in directly originated loans, secured floating/fixed syndicated loans, corporate bonds, ABS, CRE loans and other credit instruments (incl. mezzanine, m</w:t>
              <w:br/>
              <w:t>6.3: Dual-adviser economics: Adviser (CAM, a CION/Ares JV controlled by Ares) receives 1.25% of Managed Assets + 15% income incentive; it pays Sub-Adviser (Ares Capital Management II) 40% of fees actually received and retaine</w:t>
              <w:br/>
              <w:t>6.4: RIC under Subchapter M; fiscal and tax year end December 31; shareholders receive Form 1099-DIV (no K-1). FY2025 distributions characterized 100% ordinary income for tax. Fund pays 4% excise tax on retained excess taxabl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Senior loan investable proxy (BKLN, for Morningstar LSTA class) (score 9/12)</w:t>
      </w:r>
    </w:p>
    <w:p>
      <w:r>
        <w:t>Window 2017-07-11 to 2026-08-24: fund 6.38%/yr vs benchmark 3.89%/yr, KS-PME 1.2376, Direct Alpha 2.37%/yr. Disclosure: PME and alpha computed on appraisal-lagged NAVs are window-sensitive and can be smoothing-flattered. Conclusions should be read with the methodology's window-sensitivity analysis.</w:t>
      </w:r>
    </w:p>
    <w:p>
      <w:pPr>
        <w:pStyle w:val="ListBullet"/>
      </w:pPr>
      <w:r>
        <w:t>strategy_match 2/3: broadly syndicated loans vs direct lending (close cousin, not twin). Fund itself declares NO benchmark (5.1), so the engine constructs one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PME / Direct Alpha vs BKLN (score 9/12)</w:t>
      </w:r>
    </w:p>
    <w:p>
      <w:r>
        <w:t>Window 2017-07-11 to 2026-08-24: fund 6.38%/yr vs benchmark 3.89%/yr, KS-PME 1.2376, Direct Alpha 2.37%/yr. Disclosure: PME and alpha computed on appraisal-lagged NAVs are window-sensitive and can be smoothing-flattered. Conclusions should be read with the methodology's window-sensitivity analysis.</w:t>
      </w:r>
    </w:p>
    <w:p>
      <w:pPr>
        <w:pStyle w:val="ListBullet"/>
      </w:pPr>
      <w:r>
        <w:t>strategy_match 2/3: wealth-ratio PME vs investable loan proxy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Peer cohort: private_credit (cclfx, bcred, pflex, cion_ares, ocic)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9/12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Cliffwater Direct Lending Index (CDLI)</w:t>
            </w:r>
          </w:p>
        </w:tc>
        <w:tc>
          <w:tcPr>
            <w:tcW w:type="dxa" w:w="1152"/>
          </w:tcPr>
          <w:p>
            <w:r>
              <w:t>6/12</w:t>
            </w:r>
          </w:p>
        </w:tc>
        <w:tc>
          <w:tcPr>
            <w:tcW w:type="dxa" w:w="4752"/>
          </w:tcPr>
          <w:p>
            <w:r>
              <w:t>score 6/12 below primary threshold 7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Private credit (interval fund + non-traded BDC) (n=5). Membership rationale: Diversified credit in the cclfx/pflex wrapper (interval, quarterly 5%). Joins via the census promotion pipeline. The dual-adviser CION+Ares structure and a leverage-inclusive Managed Assets fee base (1.89% of net assets at FY2025 leverage) widen the cohort's fee-base axis. Daily Class I NAV (CADUX).</w:t>
      </w:r>
    </w:p>
    <w:p>
      <w:r>
        <w:t>Cohort placement (private_credit, R4 phrasing): mgmt fee: 50th percentile of cohort (n=5), at the median of 1.25 | expense ratio (bases differ, see notes): 50th percentile of cohort (n=5), at the median of 3.76 | repurchase cap: 50th percentile of cohort (n=5), at the median of 5. Stats and per-member values in data/cohorts/private_credit.json, membership rationales in data/facts.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[bcred: BDC 150% asset-coverage regime - materially MORE leverage headroom than 1940-Act funds; cion_ares: 1940-Act asset-coverage limits; cliffwater_cclfx: 1940-Act asset-coverage limits; ocic: BDC 150% asset-coverage regime - materially MORE leverage headroom than 1940-Act funds; pflex: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[bcred: board-discretionary share repurchases; cion_ares: Rule 23c-3 OBLIGATION (board cannot skip a window); cliffwater_cclfx: Rule 23c-3 OBLIGATION (board cannot skip a window); ocic: board-discretionary share repurchases; pflex: Rule 23c-3 OBLIGATION (board cannot skip a window)]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[bcred: quarterly NAV determinations; cion_ares: daily NAV; cliffwater_cclfx: daily NAV; ocic: quarterly NAV determinations; pflex: daily NAV]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9, extracted: 22, n/a: 12, partial: 10, structured: 1. Cells marked extracted-unverified or computed await independent verification. Verified cells have been independently re-checked. Cells marked structured come directly from machine-readable regulatory data (N-CEN structured datasets, XBRL company facts) with the source dataset cited.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