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Window 2024-12-31 to 2025-12-31: fund -2.4%/yr vs benchmark 3.25%/yr, KS-PME 0.9453, Direct Alpha -5.47%/yr.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(score 8/12)</w:t>
      </w:r>
    </w:p>
    <w:p>
      <w:pPr>
        <w:pStyle w:val="ListBullet"/>
      </w:pPr>
      <w:r>
        <w:t>strategy_match 3/3: private open-end core RE funds, the strategy-exact yardstick.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fact unavailable for this member.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