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1.4: PARTIAL: $2.4B monthly net distributions declared FY2025; avg annualized distribution rate by class (I 4.8%, S 3.9%, D 4.6%, T 4.0%). ROC split pending.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2.7: Early Repurchase Deduction: shares held less than one year are repurchased at 98% of the transaction price, i.e. a 2% deduction, subject to limited exceptions. Does NOT apply to shares acquired through the distribution 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3.6: Charter leverage limit: borrowing capped at 300% of cost of net assets (approx 75% of cost of investments) absent independent-director override with disclosure.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4.4: COMPLETE weighted-average DCF assumptions by property type (12/31/2025): Rental Housing 7.2% discount / 5.4% exit cap; Industrial 7.5% / 5.5%; Net Lease 6.6% / 5.6%; Hospitality 10.8% / 9.0%; Data Centers 8.3% / 6.1%; Se</w:t>
              <w:br/>
              <w:t>4.5: Deloitte &amp; Touche LLP, New York; auditor since 2016 (Big-4).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2, extracted: 7, n/a: 8, partial: 3, pending: 34.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