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2026-08-09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1.8: KS-PME 1.9565, Direct Alpha +14.37%/yr vs PSP over fiscal window 2021-03-31 to 2026-03-31 - DISCLOSED as window-sensitive and smoothing-flattered (window opens at listed-PE peak; appraisal-lagged NAV sailed through 2022)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1.40% annualized on MANAGED ASSETS (not net assets - includes leverage), calculated monthly, paid quarterly. NOTE: fee-base trap from dictionary 2.1 confirmed in the wild. Fee history note (crosscheck): 2021 486BPOS fee </w:t>
              <w:br/>
              <w:t>2.2: 12.50% incentive fee, calculated PER INVESTMENT (deal-by-deal) on each Direct, Secondary, Listed PE and Opportunistic investment. Waterfall: (i) 100% of proceeds retained by Fund until return of acquisition cost + Prefer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2.7: 2.00% early repurchase fee if held under 1 year (FIFO).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3.6: Line of credit payable $76,482,442 at FY26; total borrowings trend (000s) FY26 76,482 vs FY25 36,192.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  <w:br/>
              <w:t>3.9: Verdict: CONDITIONAL. STRUCTURAL GAP: a participant-directed 404(c) menu assumes daily pricing and daily participant liquidity; this wrapper deals 4x/year. Direct DIA use requires a bridging structure — CIT sleeve, manag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4.2: ASC 820 hierarchy at 3/31/2026: Level I $529,492,964 (all Short Term Investments); Level II $0 (fund held no Level II securities); Level III $562,354,022 (Direct Credit $79,199,618 + Direct Equity $455,391,311 + Secondar</w:t>
              <w:br/>
              <w:t>4.5: Cohen &amp; Company, Ltd., Cleveland OH. Auditor of HL funds since 2020. Opinion dated May 29, 2026. NOTE: not Big-4 - a live evaluative datum for this cell.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6.4: Form 1099-DIV (fund is a RIC): shareholders receive IRS Form 1099-DIV after each calendar year showing ordinary income / qualified dividend income / long-term capital gain character; cost basis reported on Form 1099 for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15.31%/yr vs benchmark 0.83%/yr; KS-PME 1.9565; Direct Alpha 14.37%/yr.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15.31%/yr vs benchmark 10.48%/yr; KS-PME 1.2386; Direct Alpha 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3, extracted: 11, n/a: 7, partial: 1, pending: 32.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