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 Decision Memo</w:t>
      </w:r>
    </w:p>
    <w:p>
      <w:r>
        <w:rPr>
          <w:b/>
        </w:rPr>
        <w:t>Plan: US media/technology company 401(k) plan (~$570M, New York)</w:t>
        <w:br/>
      </w:r>
      <w:r>
        <w:t>Product: KKR Private Equity Conglomerate LLC (non-traded '34 Act reporting company, CIK 1957845)</w:t>
        <w:br/>
      </w:r>
      <w:r>
        <w:t>Date: 2026-08-09    Status: DRAFT — demo build; cells marked extracted-unverified pend independent verification.</w:t>
      </w:r>
    </w:p>
    <w:p>
      <w:pPr>
        <w:pStyle w:val="Heading1"/>
      </w:pPr>
      <w:r>
        <w:t>Regulatory basis</w:t>
      </w:r>
    </w:p>
    <w:p>
      <w:r>
        <w:t>DOL proposed rule, Fiduciary Duties in Selecting Designated Investment Alternatives, 91 FR 16088 (Mar. 31, 2026), RIN 1210-AC38</w:t>
      </w:r>
    </w:p>
    <w:p>
      <w:r>
        <w:t>This memo documents an evaluation of the product below as a potential designated investment alternative (DIA) for the plan, structured on the six factors of the proposed rule: performance, fees and expenses, liquidity, valuation, performance benchmarks, and complexity. The proposed safe harbor attaches to a documented, objective, thorough and analytical process; this memo and its underlying evidence files constitute that record.</w:t>
      </w:r>
    </w:p>
    <w:p>
      <w:r>
        <w:t>On benchmarks, the proposal requires comparison against a meaningful benchmark and acknowledges that no single benchmark is meaningful for every DIA; where none exists, the history of a similar type of investment may serve. The benchmark section below therefore documents the selection AND the rejections: every candidate considered, its score, and the true reason it was or was not chosen. Note: the pleading standard for benchmark-based claims is before the Supreme Court in Anderson v. Intel (argument expected October Term 2026); this memo's approach is designed to be defensible under either outcome.</w:t>
      </w:r>
    </w:p>
    <w:p>
      <w:pPr>
        <w:pStyle w:val="Heading1"/>
      </w:pPr>
      <w:r>
        <w:t>Six-factor findings (summary)</w:t>
      </w:r>
    </w:p>
    <w:tbl>
      <w:tblPr>
        <w:tblStyle w:val="TableGrid"/>
        <w:tblW w:type="auto" w:w="0"/>
        <w:tblLook w:firstColumn="1" w:firstRow="1" w:lastColumn="0" w:lastRow="0" w:noHBand="0" w:noVBand="1" w:val="04A0"/>
      </w:tblPr>
      <w:tblGrid>
        <w:gridCol w:w="4680"/>
        <w:gridCol w:w="4680"/>
      </w:tblGrid>
      <w:tr>
        <w:tc>
          <w:tcPr>
            <w:tcW w:type="dxa" w:w="2016"/>
          </w:tcPr>
          <w:p>
            <w:r>
              <w:t>Factor</w:t>
            </w:r>
          </w:p>
        </w:tc>
        <w:tc>
          <w:tcPr>
            <w:tcW w:type="dxa" w:w="7344"/>
          </w:tcPr>
          <w:p>
            <w:r>
              <w:t>Key findings (cell: value)</w:t>
            </w:r>
          </w:p>
        </w:tc>
      </w:tr>
      <w:tr>
        <w:tc>
          <w:tcPr>
            <w:tcW w:type="dxa" w:w="2016"/>
          </w:tcPr>
          <w:p>
            <w:r>
              <w:t>1 — Performance</w:t>
            </w:r>
          </w:p>
        </w:tc>
        <w:tc>
          <w:tcPr>
            <w:tcW w:type="dxa" w:w="7344"/>
          </w:tcPr>
          <w:p>
            <w:r>
              <w:t>1.2: Transactional NAV Total Returns (FY2025 10-K, MD&amp;A table): Year ended 12/31/2025 - Class D 14.80% / I 16.81% / S 9.55% / U 15.78% / R-D 16.49% / R-I 16.79% / R-U 15.79%. Inception-to-date annualized at 12/31/2025 - I 12.</w:t>
            </w:r>
          </w:p>
        </w:tc>
      </w:tr>
      <w:tr>
        <w:tc>
          <w:tcPr>
            <w:tcW w:type="dxa" w:w="2016"/>
          </w:tcPr>
          <w:p>
            <w:r>
              <w:t>2 — Fees</w:t>
            </w:r>
          </w:p>
        </w:tc>
        <w:tc>
          <w:tcPr>
            <w:tcW w:type="dxa" w:w="7344"/>
          </w:tcPr>
          <w:p>
            <w:r>
              <w:t>2.1: 1.25% per annum of month-end NAV (Investor Shares: S/D/I/U et al.), paid monthly.</w:t>
              <w:br/>
              <w:t>2.2: Performance Participation Allocation: 15.0% of Total Return on Investor Shares, subject to 5.0% annual Hurdle + High Water Mark + 100% Catch-Up. (Richer than BREIT's structure - cross-product comparison.)</w:t>
              <w:br/>
              <w:t>2.3: PARTIAL: Expense Limitation Agreement capped Specified Expenses at 0.60% 'through and including June 30, 2025' - expiry is itself an evaluative datum. Current status pending read.</w:t>
              <w:br/>
              <w:t>2.7: Early Repurchase Fee: 5.0% of the NAV of Investor Shares repurchased within 24 months of the original issue date. Fee inures to the Company (not the Manager). May be waived for death, qualifying disability or divorce; do</w:t>
            </w:r>
          </w:p>
        </w:tc>
      </w:tr>
      <w:tr>
        <w:tc>
          <w:tcPr>
            <w:tcW w:type="dxa" w:w="2016"/>
          </w:tcPr>
          <w:p>
            <w:r>
              <w:t>3 — Liquidity</w:t>
            </w:r>
          </w:p>
        </w:tc>
        <w:tc>
          <w:tcPr>
            <w:tcW w:type="dxa" w:w="7344"/>
          </w:tcPr>
          <w:p>
            <w:r>
              <w:t>3.1: Quarterly share repurchase plan: limited to 5.0% of aggregate NAV attributable to Investor Share classes per calendar quarter (measured on avg aggregate NAV of the immediately preceding quarter). Board discretion applies</w:t>
              <w:br/>
              <w:t>3.7: Plan-side demand profile (Form 5500 PY2024): 1,847 separated-with-balances = 36.1% of 5,120 accounts - the near-term liquidity tail; 3,281 active; zero retirees in pay status; 404(c) fully participant-directed.</w:t>
              <w:br/>
              <w:t>3.9: Verdict: CONDITIONAL. STRUCTURAL GAP: a participant-directed 404(c) menu assumes daily pricing and daily participant liquidity; this wrapper deals 4x/year. Direct DIA use requires a bridging structure — CIT sleeve, manag</w:t>
            </w:r>
          </w:p>
        </w:tc>
      </w:tr>
      <w:tr>
        <w:tc>
          <w:tcPr>
            <w:tcW w:type="dxa" w:w="2016"/>
          </w:tcPr>
          <w:p>
            <w:r>
              <w:t>4 — Valuation</w:t>
            </w:r>
          </w:p>
        </w:tc>
        <w:tc>
          <w:tcPr>
            <w:tcW w:type="dxa" w:w="7344"/>
          </w:tcPr>
          <w:p>
            <w:r>
              <w:t>4.5: Deloitte &amp; Touche LLP, San Francisco; auditor since 2022 (Big-4).</w:t>
            </w:r>
          </w:p>
        </w:tc>
      </w:tr>
      <w:tr>
        <w:tc>
          <w:tcPr>
            <w:tcW w:type="dxa" w:w="2016"/>
          </w:tcPr>
          <w:p>
            <w:r>
              <w:t>5 — Performance Benchmarks</w:t>
            </w:r>
          </w:p>
        </w:tc>
        <w:tc>
          <w:tcPr>
            <w:tcW w:type="dxa" w:w="7344"/>
          </w:tcPr>
          <w:p>
            <w:r>
              <w:t>No cells evaluated yet — pending extraction.</w:t>
            </w:r>
          </w:p>
        </w:tc>
      </w:tr>
      <w:tr>
        <w:tc>
          <w:tcPr>
            <w:tcW w:type="dxa" w:w="2016"/>
          </w:tcPr>
          <w:p>
            <w:r>
              <w:t>6 — Complexity</w:t>
            </w:r>
          </w:p>
        </w:tc>
        <w:tc>
          <w:tcPr>
            <w:tcW w:type="dxa" w:w="7344"/>
          </w:tcPr>
          <w:p>
            <w:r>
              <w:t>6.4: ISSUES SCHEDULE K-1s (partnership taxation): K-1 information provided ~75 days after calendar year-end, and may be delayed. Per dictionary 6.4, K-1s are near-disqualifying operationally in DC plans - participant-level re</w:t>
            </w:r>
          </w:p>
        </w:tc>
      </w:tr>
    </w:tbl>
    <w:p>
      <w:pPr>
        <w:pStyle w:val="Heading1"/>
      </w:pPr>
      <w:r>
        <w:t>Benchmark selection and justification</w:t>
      </w:r>
    </w:p>
    <w:p>
      <w:r>
        <w:t>Engine profile pending for this product — extraction depth required before selection.</w:t>
      </w:r>
    </w:p>
    <w:p>
      <w:pPr>
        <w:pStyle w:val="Heading1"/>
      </w:pPr>
      <w:r>
        <w:t>Provenance</w:t>
      </w:r>
    </w:p>
    <w:p>
      <w:r>
        <w:t>Every populated cell carries its source document, section, quote, extractor and verifier in data/evidence/. Current cell status for this product: computed: 2, extracted: 7, n/a: 8, partial: 1, pending: 36. Cells marked extracted-unverified or computed await independent verification; verified cells have been independently re-checked.</w:t>
      </w:r>
    </w:p>
    <w:p>
      <w:r>
        <w:t>Data sources include SEC EDGAR filings (see data/manifest.csv) and DOL EBSA Form 5500 bulk data.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