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StepStone Private Markets (tender-offer fund ('40 Act), CIK 1789470)</w:t>
        <w:br/>
      </w:r>
      <w:r>
        <w:t>Date: 2026-08-09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1.2: Class I FY2026 total return 10.47%. AATR as of 3/31/2026: Class I 1yr 10.47% / 5yr 12.92% / SI 19.19%; Class D 10.19 / 12.72 / 18.96. Class I/D/S inception 10/1/2020; Class R 1/2/2026.</w:t>
              <w:br/>
              <w:t>1.8: KS-PME 1.762, Direct Alpha +12.0%/yr vs PSP (same fiscal window, same window-sensitivity disclosure); vs URTH: PME 1.1155, +2.21%/yr.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1.40% annualized on daily NET ASSETS (contrast: PAF charges same 1.40% on MANAGED ASSETS incl. leverage — fee-base comparison lands).</w:t>
              <w:br/>
              <w:t>2.2: No fund-level incentive fee identified in N-CSR or prospectus. Underlying Investment Funds charge 1.00%-2.00% mgmt + performance fees (the AFFE layer).</w:t>
              <w:br/>
              <w:t>2.3: FY2026 (year ended 3/31/2026) expenses to average net assets: Class I 1.91%, Class D 2.17%, Class S 2.77% - before and after adviser recoupment/reimbursement identical in FY2026 (no net waiver effect). 5-yr trend (before</w:t>
              <w:br/>
              <w:t>2.7: No early-repurchase-fee language matched in prospectus or N-CSR - likely none at fund level; confirm in tender-offer terms.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offers: up to 5% of OUTSTANDING SHARES (vs PAF's 5% of net assets - different cap base), purchased at NAV.</w:t>
              <w:br/>
              <w:t>3.6: Cash $247.3M + $300.0M undrawn credit facility as of 3/31/2026. Fund net assets $5,828.9M; 533 positions.</w:t>
              <w:br/>
              <w:t>3.7: Plan-side demand profile (Form 5500 PY2024): 1,847 separated-with-balances = 36.1% of 5,120 accounts - the near-term liquidity tail; 3,281 active; zero retirees in pay status; 404(c) fully participant-directed.</w:t>
              <w:br/>
              <w:t>3.9: Verdict: CONDITIONAL. STRUCTURAL GAP: a participant-directed 404(c) menu assumes daily pricing and daily participant liquidity; this wrapper deals 4x/year. Direct DIA use requires a bridging structure — CIT sleeve, manag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4.5: Ernst &amp; Young LLP, New York (Big-4).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primary benchmark: MSCI World Index.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6.4: 1099 reporting, marketed as a feature: prospectus lists 'Form 1099 DIV or Form 1099-B tax reporting instead of K-1s' under Favorable Structure - the direct contrast to K-PEC's K-1s. The complexity factor's cleanest cross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12.92%/yr vs benchmark 0.83%/yr; KS-PME 1.762; Direct Alpha 12.0%/yr.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12.92%/yr vs benchmark 10.48%/yr; KS-PME 1.1155; Direct Alpha 2.21%/yr.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3, extracted: 8, n/a: 7, partial: 2, pending: 34.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