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AMG Pantheon Fund, LLC (tender-offer fund ('40 Act), evergreen PE, CIK 1609211)</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CONDITIONAL-WEAK.</w:t>
      </w:r>
    </w:p>
    <w:p>
      <w:r>
        <w:t>Benchmark: Peer composite, evergreen private equity cohort without AMG Pantheon Fund, LLC (members: Ares Private Markets Fund, Hamilton Lane Private Assets Fund, KKR Private Equity Conglomerate LLC, StepStone Private Markets) at 9/12, relative wealth ratio 0.8357 vs the peer composite, annualized excess return -3.53%/yr (not a public market equivalent) over FY2022 to FY2026.</w:t>
      </w:r>
    </w:p>
    <w:p>
      <w:r>
        <w:t>Flags raised by the record (each restates a typed value or verdict, with its source):</w:t>
      </w:r>
    </w:p>
    <w:p>
      <w:pPr>
        <w:pStyle w:val="ListBullet"/>
      </w:pPr>
      <w:r>
        <w:t>Liquidity: ILLUSTRATIVE scenario verdict conditional-weak under this plan (base or stressed demand above wrapper capacity)</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evergreen private equity cohort without AMG Pantheon Fund, LLC (members: Ares Private Markets Fund, Hamilton Lane Private Assets Fund, KKR Private Equity Conglomerate LLC, StepStone Private Markets)</w:t>
            </w:r>
          </w:p>
        </w:tc>
        <w:tc>
          <w:tcPr>
            <w:tcW w:type="dxa" w:w="864"/>
          </w:tcPr>
          <w:p>
            <w:r>
              <w:t>9/12</w:t>
            </w:r>
          </w:p>
        </w:tc>
        <w:tc>
          <w:tcPr>
            <w:tcW w:type="dxa" w:w="3888"/>
          </w:tcPr>
          <w:p>
            <w:r>
              <w:t>relative wealth ratio 0.8357 vs the peer composite, annualized excess return -3.53%/yr (not a public market equivalent), FY2022 to FY2026</w:t>
            </w:r>
          </w:p>
        </w:tc>
      </w:tr>
      <w:tr>
        <w:tc>
          <w:tcPr>
            <w:tcW w:type="dxa" w:w="1152"/>
          </w:tcPr>
          <w:p>
            <w:r>
              <w:t>secondary</w:t>
            </w:r>
          </w:p>
        </w:tc>
        <w:tc>
          <w:tcPr>
            <w:tcW w:type="dxa" w:w="3456"/>
          </w:tcPr>
          <w:p>
            <w:r>
              <w:t>Listed private equity investable proxy (PSP)</w:t>
            </w:r>
          </w:p>
        </w:tc>
        <w:tc>
          <w:tcPr>
            <w:tcW w:type="dxa" w:w="864"/>
          </w:tcPr>
          <w:p>
            <w:r>
              <w:t>9/12</w:t>
            </w:r>
          </w:p>
        </w:tc>
        <w:tc>
          <w:tcPr>
            <w:tcW w:type="dxa" w:w="3888"/>
          </w:tcPr>
          <w:p>
            <w:r>
              <w:t>KS-PME 1.5919, Direct Alpha 6.87%/yr, 2019-03-31 to 2026-03-31</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9/12 and secondary 9/12 (only two slots). Retained in log as viable alternate</w:t>
            </w:r>
          </w:p>
        </w:tc>
      </w:tr>
    </w:tbl>
    <w:p>
      <w:pPr>
        <w:pStyle w:val="Heading1"/>
      </w:pPr>
      <w:r>
        <w:t>Exhibit B. Liquidity match for this plan</w:t>
      </w:r>
    </w:p>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outstanding shares.</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window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0.70% on net assets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2.38% expense ratio, total annual expenses of the inception class, classes range 2.38% to 3.38%</w:t>
            </w:r>
          </w:p>
        </w:tc>
        <w:tc>
          <w:tcPr>
            <w:tcW w:type="dxa" w:w="2880"/>
          </w:tcPr>
          <w:p>
            <w:r>
              <w:t>extracted-unverified</w:t>
            </w:r>
          </w:p>
        </w:tc>
      </w:tr>
      <w:tr>
        <w:tc>
          <w:tcPr>
            <w:tcW w:type="dxa" w:w="2880"/>
          </w:tcPr>
          <w:p>
            <w:r>
              <w:t>2.4 AFFE</w:t>
            </w:r>
          </w:p>
        </w:tc>
        <w:tc>
          <w:tcPr>
            <w:tcW w:type="dxa" w:w="3600"/>
          </w:tcPr>
          <w:p>
            <w:r>
              <w:t>AFFE 0.81%</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(Pantheon) tender-offer LLC - wrapper and strategy twin of hl_paf/stepstone_spm.</w:t>
      </w:r>
    </w:p>
    <w:p>
      <w:r>
        <w:t>Cohort placement (evergreen private equity cohort): mgmt fee: 10th percentile of cohort (n=5), below the median of 1.4 | expense ratio (bases differ, see notes): 30th percentile of cohort (n=5), below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27, verified 0, computed 9, partial 3,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