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Ares Private Markets Fund (tender-offer fund ('40 Act), CIK 1876006)</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CONDITIONAL-WEAK.</w:t>
      </w:r>
    </w:p>
    <w:p>
      <w:r>
        <w:t>Benchmark: Peer composite, evergreen private equity cohort without Ares Private Markets Fund (members: AMG Pantheon Fund, LLC, Hamilton Lane Private Assets Fund, KKR Private Equity Conglomerate LLC, StepStone Private Markets) at 9/12, relative wealth ratio 1.0822 vs the peer composite, annualized excess return 1.99%/yr (not a public market equivalent) over FY2023 to FY2026.</w:t>
      </w:r>
    </w:p>
    <w:p>
      <w:r>
        <w:t>Flags raised by the record (each restates a typed value or verdict, with its source):</w:t>
      </w:r>
    </w:p>
    <w:p>
      <w:pPr>
        <w:pStyle w:val="ListBullet"/>
      </w:pPr>
      <w:r>
        <w:t>Liquidity: ILLUSTRATIVE scenario verdict conditional-weak under this plan (base or stressed demand above wrapper capacity)</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Ares Private Markets Fund (members: AMG Pantheon Fund, LLC, Hamilton Lane Private Assets Fund, KKR Private Equity Conglomerate LLC, StepStone Private Markets)</w:t>
            </w:r>
          </w:p>
        </w:tc>
        <w:tc>
          <w:tcPr>
            <w:tcW w:type="dxa" w:w="864"/>
          </w:tcPr>
          <w:p>
            <w:r>
              <w:t>9/12</w:t>
            </w:r>
          </w:p>
        </w:tc>
        <w:tc>
          <w:tcPr>
            <w:tcW w:type="dxa" w:w="3888"/>
          </w:tcPr>
          <w:p>
            <w:r>
              <w:t>relative wealth ratio 1.0822 vs the peer composite, annualized excess return 1.99%/yr (not a public market equivalent), FY2023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1.5712, Direct Alpha 11.97%/yr, 2022-04-01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net assets.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managed assets (leverage-inclusive)</w:t>
            </w:r>
          </w:p>
        </w:tc>
        <w:tc>
          <w:tcPr>
            <w:tcW w:type="dxa" w:w="2880"/>
          </w:tcPr>
          <w:p>
            <w:r>
              <w:t>extracted-unverified</w:t>
            </w:r>
          </w:p>
        </w:tc>
      </w:tr>
      <w:tr>
        <w:tc>
          <w:tcPr>
            <w:tcW w:type="dxa" w:w="2880"/>
          </w:tcPr>
          <w:p>
            <w:r>
              <w:t>2.2 Incentive fee terms</w:t>
            </w:r>
          </w:p>
        </w:tc>
        <w:tc>
          <w:tcPr>
            <w:tcW w:type="dxa" w:w="3600"/>
          </w:tcPr>
          <w:p>
            <w:r>
              <w:t>incentive fee: 12.5%</w:t>
            </w:r>
          </w:p>
        </w:tc>
        <w:tc>
          <w:tcPr>
            <w:tcW w:type="dxa" w:w="2880"/>
          </w:tcPr>
          <w:p>
            <w:r>
              <w:t>extracted-unverified</w:t>
            </w:r>
          </w:p>
        </w:tc>
      </w:tr>
      <w:tr>
        <w:tc>
          <w:tcPr>
            <w:tcW w:type="dxa" w:w="2880"/>
          </w:tcPr>
          <w:p>
            <w:r>
              <w:t>2.3 Total expense ratio &amp; waivers</w:t>
            </w:r>
          </w:p>
        </w:tc>
        <w:tc>
          <w:tcPr>
            <w:tcW w:type="dxa" w:w="3600"/>
          </w:tcPr>
          <w:p>
            <w:r>
              <w:t>5.02% expense ratio, gross, before a 0.03% waiver, including the 1.60% incentive-fee drag, AFFE excluded (FY2026, Class I)</w:t>
            </w:r>
          </w:p>
        </w:tc>
        <w:tc>
          <w:tcPr>
            <w:tcW w:type="dxa" w:w="2880"/>
          </w:tcPr>
          <w:p>
            <w:r>
              <w:t>extracted-unverified</w:t>
            </w:r>
          </w:p>
        </w:tc>
      </w:tr>
      <w:tr>
        <w:tc>
          <w:tcPr>
            <w:tcW w:type="dxa" w:w="2880"/>
          </w:tcPr>
          <w:p>
            <w:r>
              <w:t>2.4 AFFE</w:t>
            </w:r>
          </w:p>
        </w:tc>
        <w:tc>
          <w:tcPr>
            <w:tcW w:type="dxa" w:w="3600"/>
          </w:tcPr>
          <w:p>
            <w:r>
              <w:t>AFFE 1.00%</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Secondaries-led evergreen PE tender-offer fund - wrapper and strategy twin of hl_paf/stepstone_spm.</w:t>
      </w:r>
    </w:p>
    <w:p>
      <w:r>
        <w:t>Cohort placement (evergreen private equity cohort): mgmt fee: 50th percentile of cohort (n=5), at the median of 1.4 | expense ratio (bases differ, see notes): 90th percentile of cohort (n=5), above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28, verified 0, computed 9, partial 2,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