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Blackstone Private Credit Fund (non-traded BDC ('34 Act reporting; continuous offering), CIK 1803498)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Peer composite, private credit cohort without Blackstone Private Credit Fund (members: CION Ares Diversified Credit Fund, Cliffwater Corporate Lending Fund, Blue Owl Credit Income Corp., PIMCO Flexible Credit Income Fund) at 9/12, relative wealth ratio 1.0798 vs the peer composite, annualized excess return 1.55%/yr (not a public market equivalent) over FY2021 to FY2025.</w:t>
      </w:r>
    </w:p>
    <w:p>
      <w:r>
        <w:t>Flags raised by the record (each restates a typed value or verdict, with its source):</w:t>
      </w:r>
    </w:p>
    <w:p>
      <w:pPr>
        <w:pStyle w:val="ListBullet"/>
      </w:pPr>
      <w:r>
        <w:t>Liquidity: ILLUSTRATIVE scenario verdict conditional-weak under this plan (base or stressed demand above wrapper capacity)</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Blackstone Private Credit Fund (members: CION Ares Diversified Credit Fund, Cliffwater Corporate Lending Fund, Blue Owl Credit Income Corp., PIMCO Flexible Credit Income Fund)</w:t>
            </w:r>
          </w:p>
        </w:tc>
        <w:tc>
          <w:tcPr>
            <w:tcW w:type="dxa" w:w="864"/>
          </w:tcPr>
          <w:p>
            <w:r>
              <w:t>9/12</w:t>
            </w:r>
          </w:p>
        </w:tc>
        <w:tc>
          <w:tcPr>
            <w:tcW w:type="dxa" w:w="3888"/>
          </w:tcPr>
          <w:p>
            <w:r>
              <w:t>relative wealth ratio 1.0798 vs the peer composite, annualized excess return 1.55%/yr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1.2378, Direct Alpha 4.38%/yr, 2021-01-07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NAV.</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7.00% expense ratio, including the interest and financing cost of BDC leverage (FY2025, Class I)</w:t>
            </w:r>
          </w:p>
        </w:tc>
        <w:tc>
          <w:tcPr>
            <w:tcW w:type="dxa" w:w="2880"/>
          </w:tcPr>
          <w:p>
            <w:r>
              <w:t>extracted-unverified</w:t>
            </w:r>
          </w:p>
        </w:tc>
      </w:tr>
      <w:tr>
        <w:tc>
          <w:tcPr>
            <w:tcW w:type="dxa" w:w="2880"/>
          </w:tcPr>
          <w:p>
            <w:r>
              <w:t>2.4 AFFE</w:t>
            </w:r>
          </w:p>
        </w:tc>
        <w:tc>
          <w:tcPr>
            <w:tcW w:type="dxa" w:w="3600"/>
          </w:tcPr>
          <w:p>
            <w:r>
              <w:t>AFFE 0.02%</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26, verified 0, computed 9,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