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CONDITIONAL-WEAK.</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pPr>
        <w:pStyle w:val="ListBullet"/>
      </w:pPr>
      <w:r>
        <w:t>Liquidity: ILLUSTRATIVE scenario verdict conditional-weak under this plan (base or stressed demand above wrapper capacity)</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Blackstone Real Estate Income Trust Inc (members: JLL Income Property Trust, Inc., Starwood Real Estate Income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monthly with caps of 2% per month and 5% per quarter on aggregate NAV.</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