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vs VNQ.</w:t>
            </w:r>
          </w:p>
          <w:p>
            <w:r>
              <w:t>1.1 Net total return series (extracted-unverified): FULL printed monthly NAV/share series, Class I, Jan 2023 - Dec 2025 (36 points) + Jun 2026 from the 10-Q -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max NAV-path drawdown -7.93%.</w:t>
            </w:r>
          </w:p>
          <w:p>
            <w:r>
              <w:t>1.7 De-smoothed volatility (computed): De-smoothed (Geltner AR1) annualized NAV-path volatility: 4.12% vs 2.41% observed (rho 0.483).</w:t>
            </w:r>
          </w:p>
          <w:p>
            <w:r>
              <w:t>1.8 Risk-adjusted metrics (PME etc) (computed): Primary Listed REIT investable proxy (VNQ): KS-PME 0.9064 and Direct Alpha -3.22%/yr over 2022-12-31 to 2025-12-31 (series comparison), fund growth 1.0971x vs proxy growth 1.2104x on two-point flows (one contribution at the window start, one valuation at the end), fund return source: filed fiscal-year returns.</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CONDITIONAL-WEAK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 0.483 (n=35) - HEAVY smoothing (compare CCLFX rho 0.139).</w:t>
            </w:r>
          </w:p>
          <w:p>
            <w:r>
              <w:t>Not applicable: 4.7 not exchange-listed. 4.9 CIT only.</w:t>
            </w:r>
          </w:p>
        </w:tc>
      </w:tr>
      <w:tr>
        <w:tc>
          <w:tcPr>
            <w:tcW w:type="dxa" w:w="1728"/>
          </w:tcPr>
          <w:p>
            <w:r>
              <w:t>5. Performance Benchmarks (k)</w:t>
            </w:r>
          </w:p>
        </w:tc>
        <w:tc>
          <w:tcPr>
            <w:tcW w:type="dxa" w:w="7632"/>
          </w:tcPr>
          <w:p>
            <w:r>
              <w:t>Typed facts: 5.3 VNQ selected, 9/12.</w:t>
            </w:r>
          </w:p>
          <w:p>
            <w:r>
              <w:t>5.1 Self-declared benchmark (extracted-unverified): ABSENCE DOCUMENTED: BREIT declares NO benchmark index anywhere in the FY2025 10-K.</w:t>
            </w:r>
          </w:p>
          <w:p>
            <w:r>
              <w:t>5.3 Alt asset-class indices (computed): Benchmark candidates evaluated by the engine (Tark benchmark rubric, 12 points, threshold 7 of 12, strategy gate below 2 of 3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proxy Listed REIT investable proxy (VNQ), primary slot): window 2022-12-31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Window 2022-12-31 to 2025-12-31: fund 3.14%/yr (filed fiscal-year returns) vs public proxy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core-plus non-traded real estate)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 the registry affiliation map ties it to none of the fund's advisers</w:t>
      </w:r>
    </w:p>
    <w:p>
      <w:pPr>
        <w:pStyle w:val="Heading2"/>
      </w:pPr>
      <w:r>
        <w:t>Secondary: NCREIF Fund Index - ODCE (private core RE) (score 7/12)</w:t>
      </w:r>
    </w:p>
    <w:p>
      <w:pPr>
        <w:pStyle w:val="ListBullet"/>
      </w:pPr>
      <w:r>
        <w:t>strategy_match 3/3: a private-market index of real estate for a core-plus non-traded real estate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composite, non-traded real estate cohort without Blackstone Real Estate Income Trust Inc (members: JLL Income Property Trust, Inc., Starwood Real Estate Income Trust, Inc.)</w:t>
            </w:r>
          </w:p>
        </w:tc>
        <w:tc>
          <w:tcPr>
            <w:tcW w:type="dxa" w:w="1152"/>
          </w:tcPr>
          <w:p>
            <w:r>
              <w:t>3/12</w:t>
            </w:r>
          </w:p>
        </w:tc>
        <w:tc>
          <w:tcPr>
            <w:tcW w:type="dxa" w:w="4752"/>
          </w:tcPr>
          <w:p>
            <w:r>
              <w:t>score 3/12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monthly with caps of 2% per month and 5% per quarter on aggregate NAV.</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plan_consulting_alumni.json (Form 5500, plan year 2024-01-01 to 2024-12-31).</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Global management-consulting firm profit-sharing/401(k) plan (~$9.8B, NY) (ILLUSTRATIVE): CONDITIONAL-WEAK.</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Liquidity: gating precedent, repurchases prorated under stress (cell 3.3)</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13, partial 8, fetched 1, n/a 12, pending 0. 42 of 42 resolvable, 0 verified, 12 n/a by wrapper.</w:t>
      </w:r>
    </w:p>
    <w:p>
      <w:r>
        <w:t>Of the 41 evidenced cells, 41 carry a source document, 41 a section, 28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1.7</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the analytics supplement artifact (stress windows) (breit_monthly_diagnostics)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