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CION Ares Diversified Credit Fund (interval fund (Rule 23c-3, quarterly repurchases), CIK 1678124)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Benchmark: Senior loan investable proxy (BKLN, for Morningstar LSTA class) at 9/12, KS-PME 1.1374, Direct Alpha 1.62%/yr over 2018-07-18 to 2026-07-17.</w:t>
      </w:r>
    </w:p>
    <w:p>
      <w:r>
        <w:t>Flags raised by the record (each restates a typed value or verdict, with its source):</w:t>
      </w:r>
    </w:p>
    <w:p>
      <w:pPr>
        <w:pStyle w:val="ListBullet"/>
      </w:pPr>
      <w:r>
        <w:t>Liquidity: ILLUSTRATIVE scenario verdict conditional-weak under this plan (base or stressed demand above wrapper capacity)</w:t>
      </w:r>
    </w:p>
    <w:p>
      <w:r>
        <w:t>Evidence coverage: 44 of 44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Senior loan investable proxy (BKLN, for Morningstar LSTA class)</w:t>
            </w:r>
          </w:p>
        </w:tc>
        <w:tc>
          <w:tcPr>
            <w:tcW w:type="dxa" w:w="864"/>
          </w:tcPr>
          <w:p>
            <w:r>
              <w:t>9/12</w:t>
            </w:r>
          </w:p>
        </w:tc>
        <w:tc>
          <w:tcPr>
            <w:tcW w:type="dxa" w:w="3888"/>
          </w:tcPr>
          <w:p>
            <w:r>
              <w:t>KS-PME 1.1374, Direct Alpha 1.62%/yr, 2018-07-18 to 2026-07-17</w:t>
            </w:r>
          </w:p>
        </w:tc>
      </w:tr>
      <w:tr>
        <w:tc>
          <w:tcPr>
            <w:tcW w:type="dxa" w:w="1152"/>
          </w:tcPr>
          <w:p>
            <w:r>
              <w:t>secondary</w:t>
            </w:r>
          </w:p>
        </w:tc>
        <w:tc>
          <w:tcPr>
            <w:tcW w:type="dxa" w:w="3456"/>
          </w:tcPr>
          <w:p>
            <w:r>
              <w:t>Peer composite, private credit cohort without CION Ares Diversified Credit Fund (members: Blackstone Private Credit Fund, Cliffwater Corporate Lending Fund, Blue Owl Credit Income Corp., PIMCO Flexible Credit Income Fund)</w:t>
            </w:r>
          </w:p>
        </w:tc>
        <w:tc>
          <w:tcPr>
            <w:tcW w:type="dxa" w:w="864"/>
          </w:tcPr>
          <w:p>
            <w:r>
              <w:t>8/12</w:t>
            </w:r>
          </w:p>
        </w:tc>
        <w:tc>
          <w:tcPr>
            <w:tcW w:type="dxa" w:w="3888"/>
          </w:tcPr>
          <w:p>
            <w:r>
              <w:t>relative wealth ratio 0.9461 vs the peer composite, annualized excess return -1.1%/yr (not a public market equivalent), FY2021 to FY2025</w:t>
            </w:r>
          </w:p>
        </w:tc>
      </w:tr>
      <w:tr>
        <w:tc>
          <w:tcPr>
            <w:tcW w:type="dxa" w:w="1152"/>
          </w:tcPr>
          <w:p>
            <w:r>
              <w:t>rejected</w:t>
            </w:r>
          </w:p>
        </w:tc>
        <w:tc>
          <w:tcPr>
            <w:tcW w:type="dxa" w:w="3456"/>
          </w:tcPr>
          <w:p>
            <w:r>
              <w:t>Cliffwater Direct Lending Index (CDLI)</w:t>
            </w:r>
          </w:p>
        </w:tc>
        <w:tc>
          <w:tcPr>
            <w:tcW w:type="dxa" w:w="864"/>
          </w:tcPr>
          <w:p>
            <w:r>
              <w:t>6/12</w:t>
            </w:r>
          </w:p>
        </w:tc>
        <w:tc>
          <w:tcPr>
            <w:tcW w:type="dxa" w:w="3888"/>
          </w:tcPr>
          <w:p>
            <w:r>
              <w:t>score 6/12 below primary threshold 7</w:t>
            </w:r>
          </w:p>
        </w:tc>
      </w:tr>
      <w:tr>
        <w:tc>
          <w:tcPr>
            <w:tcW w:type="dxa" w:w="1152"/>
          </w:tcPr>
          <w:p>
            <w:r>
              <w:t>rejected</w:t>
            </w:r>
          </w:p>
        </w:tc>
        <w:tc>
          <w:tcPr>
            <w:tcW w:type="dxa" w:w="3456"/>
          </w:tcPr>
          <w:p>
            <w:r>
              <w:t>Credit Suisse Leveraged Loan Index (CSLLI)</w:t>
            </w:r>
          </w:p>
        </w:tc>
        <w:tc>
          <w:tcPr>
            <w:tcW w:type="dxa" w:w="864"/>
          </w:tcPr>
          <w:p>
            <w:r>
              <w:t>5/12</w:t>
            </w:r>
          </w:p>
        </w:tc>
        <w:tc>
          <w:tcPr>
            <w:tcW w:type="dxa" w:w="3888"/>
          </w:tcPr>
          <w:p>
            <w:r>
              <w:t>score 5/12 below primary threshold 7</w:t>
            </w:r>
          </w:p>
        </w:tc>
      </w:tr>
    </w:tbl>
    <w:p>
      <w:pPr>
        <w:pStyle w:val="Heading1"/>
      </w:pPr>
      <w:r>
        <w:t>Exhibit B. Liquidity match for this plan</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managed assets (leverage-inclusive)</w:t>
            </w:r>
          </w:p>
        </w:tc>
        <w:tc>
          <w:tcPr>
            <w:tcW w:type="dxa" w:w="2880"/>
          </w:tcPr>
          <w:p>
            <w:r>
              <w:t>extracted-unverified</w:t>
            </w:r>
          </w:p>
        </w:tc>
      </w:tr>
      <w:tr>
        <w:tc>
          <w:tcPr>
            <w:tcW w:type="dxa" w:w="2880"/>
          </w:tcPr>
          <w:p>
            <w:r>
              <w:t>2.2 Incentive fee terms</w:t>
            </w:r>
          </w:p>
        </w:tc>
        <w:tc>
          <w:tcPr>
            <w:tcW w:type="dxa" w:w="3600"/>
          </w:tcPr>
          <w:p>
            <w:r>
              <w:t>incentive fee: 15% / 6% hurdle</w:t>
            </w:r>
          </w:p>
        </w:tc>
        <w:tc>
          <w:tcPr>
            <w:tcW w:type="dxa" w:w="2880"/>
          </w:tcPr>
          <w:p>
            <w:r>
              <w:t>extracted-unverified</w:t>
            </w:r>
          </w:p>
        </w:tc>
      </w:tr>
      <w:tr>
        <w:tc>
          <w:tcPr>
            <w:tcW w:type="dxa" w:w="2880"/>
          </w:tcPr>
          <w:p>
            <w:r>
              <w:t>2.3 Total expense ratio &amp; waivers</w:t>
            </w:r>
          </w:p>
        </w:tc>
        <w:tc>
          <w:tcPr>
            <w:tcW w:type="dxa" w:w="3600"/>
          </w:tcPr>
          <w:p>
            <w:r>
              <w:t>3.76% expense ratio, excluding interest expense (6.90% including interest per the fee table), no contractual cap (FY2025, Class I)</w:t>
            </w:r>
          </w:p>
        </w:tc>
        <w:tc>
          <w:tcPr>
            <w:tcW w:type="dxa" w:w="2880"/>
          </w:tcPr>
          <w:p>
            <w:r>
              <w:t>extracted-unverified</w:t>
            </w:r>
          </w:p>
        </w:tc>
      </w:tr>
      <w:tr>
        <w:tc>
          <w:tcPr>
            <w:tcW w:type="dxa" w:w="2880"/>
          </w:tcPr>
          <w:p>
            <w:r>
              <w:t>2.4 AFFE</w:t>
            </w:r>
          </w:p>
        </w:tc>
        <w:tc>
          <w:tcPr>
            <w:tcW w:type="dxa" w:w="3600"/>
          </w:tcPr>
          <w:p>
            <w:r>
              <w:t>n/a</w:t>
            </w:r>
          </w:p>
        </w:tc>
        <w:tc>
          <w:tcPr>
            <w:tcW w:type="dxa" w:w="2880"/>
          </w:tcPr>
          <w:p>
            <w:r>
              <w:t>n/a - documented-unavailable</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1, extracted-unverified 22, verified 0, computed 10, partial 11, fetched 0,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