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CION Ares Diversified Credit Fund (interval fund (Rule 23c-3, quarterly repurchases), CIK 1678124)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1.14 vs BKLN, peer relative wealth ratio 0.95. 1.11 inception 2017-01-26, 8.9 years.</w:t>
            </w:r>
          </w:p>
          <w:p>
            <w:r>
              <w:t>1.1 Net total return series (partial): Daily NAV series exists (NAV determined daily).</w:t>
            </w:r>
          </w:p>
          <w:p>
            <w:r>
              <w:t>1.2 Trailing &amp; calendar-year returns (partial): Calendar-year total returns at NAV, Class I, excluding expense support: 2025 +7.55%, 2024 +10.17%, 2023 +13.79%, 2022 (1.62)%, 2021 +8.90%, 2020 +3.55% (incl. expense support +3.12%), two-month period ended 12/31/2019 +2.88%, FY Oct-2019 +4.78%, FY Oct-2018 (2.19)% (incl. support +7.91%), inception-to-Oct-2017 (2.49)% (incl. support +2.95%).</w:t>
            </w:r>
          </w:p>
          <w:p>
            <w:r>
              <w:t>1.3 Gross vs net spread (partial): Gross-of-fee return series is not published.</w:t>
            </w:r>
          </w:p>
          <w:p>
            <w:r>
              <w:t>1.4 Distribution history &amp; composition (extracted-unverified): Distributions declared daily from net investment income, paid or reinvested monthly.</w:t>
            </w:r>
          </w:p>
          <w:p>
            <w:r>
              <w:t>1.5 Underlying sleeve/GP performance (partial): No per-sleeve return breakdown is published.</w:t>
            </w:r>
          </w:p>
          <w:p>
            <w:r>
              <w:t>1.6 Volatility &amp; max drawdown (partial): Since-inception standard deviation of non-loaded daily NAV total returns, by class: A 3.59%, C 3.55%, I 3.62%, L 3.64%, U 3.94%, U-2 2.89%, W 3.83%.</w:t>
            </w:r>
          </w:p>
          <w:p>
            <w:r>
              <w:t>1.7 De-smoothed volatility (computed): Geltner de-smoothed ann vol 6.57% vs raw 6.07% (lag-1 rho 0.075) on monthly points of the daily Class I NAV (CADUX, 2017-07-31 to 2026-08-24).</w:t>
            </w:r>
          </w:p>
          <w:p>
            <w:r>
              <w:t>1.8 Risk-adjusted metrics (PME etc) (computed): Primary Senior loan investable proxy (BKLN, for Morningstar LSTA class): KS-PME 1.1374 and Direct Alpha +1.62%/yr over 2018-07-18 to 2026-07-17 (series comparison, clipped: proxy series begins 2018-07-18, proxy series ends 2026-07-17), fund growth 1.6029x vs proxy growth 1.4092x on two-point flows (one contribution at the window start, one valuation at the end), fund return source: Yahoo adjusted close, approximates NAV total return.</w:t>
            </w:r>
          </w:p>
          <w:p>
            <w:r>
              <w:t>1.9 Stress-window performance (partial): Stress windows from reported calendar returns (Class I): 2020 COVID year +3.12% including expense support (+3.55% excluding); 2022 rate shock (1.62)%; April 2025 tariff episode described qualitatively as 'a short (and sharp) drawdown' with swift recovery.</w:t>
            </w:r>
          </w:p>
          <w:p>
            <w:r>
              <w:t>1.11 Track record &amp; manager tenure (extracted-unverified): Fund organized as Delaware statutory trust 6/21/2016; commenced operations 1/26/2017 (Class A inception 1/26/2017; Class I 7/12/2017) — ~8.9-year track record at FYE 2025.</w:t>
            </w:r>
          </w:p>
          <w:p>
            <w:r>
              <w:t>Not applicable: 1.10 unlisted).</w:t>
            </w:r>
          </w:p>
        </w:tc>
      </w:tr>
      <w:tr>
        <w:tc>
          <w:tcPr>
            <w:tcW w:type="dxa" w:w="1728"/>
          </w:tcPr>
          <w:p>
            <w:r>
              <w:t>2. Fees (h)</w:t>
            </w:r>
          </w:p>
        </w:tc>
        <w:tc>
          <w:tcPr>
            <w:tcW w:type="dxa" w:w="7632"/>
          </w:tcPr>
          <w:p>
            <w:r>
              <w:t>Typed facts: 2.1 1.25% on managed assets (leverage-inclusive). 2.2 incentive fee: 15% / 6% hurdle. 2.3 3.76% expense ratio, excluding interest expense (6.90% including interest per the fee table), no contractual cap (FY2025, Class I). 2.7 early repurchase fee: none.</w:t>
            </w:r>
          </w:p>
          <w:p>
            <w:r>
              <w:t>2.1 Management fee (rate AND base) (extracted-unverified): Management Fee: 1.25% per annum of the average daily value of the Fund's MANAGED ASSETS (leverage-inclusive base), calculated and payable monthly.</w:t>
            </w:r>
          </w:p>
          <w:p>
            <w:r>
              <w:t>2.2 Incentive fee terms (extracted-unverified): Incentive fee on income only: 15% of each share class's 'pre-incentive fee net investment income' (interest + dividend + other income minus class operating expenses incl. management fee, administration reimbursements and preferred interest/distributions, but excluding the incentive fee), calculated and payable quarterly in arrears.</w:t>
            </w:r>
          </w:p>
          <w:p>
            <w:r>
              <w:t>2.3 Total expense ratio &amp; waivers (extracted-unverified): Prospectus fee table (as % of average net assets, assuming FY2025 actual average leverage of 50.63% of net assets) — Total annual fund expenses: Class A 7.10%, C 7.74%, I 6.90%, L 7.33%, U 7.54%, U-2 7.54%, W 7.32% (components: management 1.89%, incentive 1.39%, interest 3.14%, plus class-level servicing/distribution/other).</w:t>
            </w:r>
          </w:p>
          <w:p>
            <w:r>
              <w:t>2.6 Loads &amp; servicing fees (extracted-unverified): Maximum sales loads: Class A 5.75% (up to 5.00% commission + up to 0.75% dealer manager fee), L 4.25%, W 3.00%, U-2 2.50%; C, I, U none.</w:t>
            </w:r>
          </w:p>
          <w:p>
            <w:r>
              <w:t>2.7 Early repurchase fee (extracted-unverified): No early repurchase fee: the Fund expressly charges no repurchase fee on interval repurchases.</w:t>
            </w:r>
          </w:p>
          <w:p>
            <w:r>
              <w:t>2.9 Fee peer percentile (computed): Cohort placement (private credit cohort): mgmt fee: 50th percentile of cohort (n=5), at the median of 1.25 | expense ratio (bases differ, see notes): 50th percentile of cohort (n=5), at the median of 3.76 | repurchase cap: 50th percentile of cohort (n=5), at the median of 5.</w:t>
            </w:r>
          </w:p>
          <w:p>
            <w:r>
              <w:t>2.10 Value justification (partial): No fee-vs-value (15(c)-style) discussion exists in these filings: N-CSR Item 11 (Statement Regarding Basis for Approval of Investment Advisory Contract) is marked 'Not applicable.' The only value framing is qualitative marketing language (relative-value allocation across the Ares platform, 81% direct origination, 9.19% current yield).</w:t>
            </w:r>
          </w:p>
          <w:p>
            <w:r>
              <w:t>Not applicable: 2.4 documented-unavailable. 2.5 documented-unavailable. 2.8 documented-unavailable.</w:t>
            </w:r>
          </w:p>
        </w:tc>
      </w:tr>
      <w:tr>
        <w:tc>
          <w:tcPr>
            <w:tcW w:type="dxa" w:w="1728"/>
          </w:tcPr>
          <w:p>
            <w:r>
              <w:t>3. Liquidity (i)</w:t>
            </w:r>
          </w:p>
        </w:tc>
        <w:tc>
          <w:tcPr>
            <w:tcW w:type="dxa" w:w="7632"/>
          </w:tcPr>
          <w:p>
            <w:r>
              <w:t>Typed facts: 3.1 quarterly dealing, 5% cap per quarter on outstanding shares. 3.3 no gating identified in the filings on record. 3.6 $5.2B net assets. 3.9 structural verdict conditional, plan-independent.</w:t>
            </w:r>
          </w:p>
          <w:p>
            <w:r>
              <w:t>3.1 Wrapper liquidity terms (extracted-unverified): Interval fund under Rule 23c-3: continuous daily offering at NAV (plus loads where applicable); NO daily redemption.</w:t>
            </w:r>
          </w:p>
          <w:p>
            <w:r>
              <w:t>3.2 Repurchase mechanics (extracted-unverified): Mechanics: Board sets Repurchase Offer Amount (5%-25% floor/cap); notice sent 21-42 days before Repurchase Request Deadline; NAV pricing no later than the 14th calendar day after the deadline (in the June 2026 offer, pricing date = deadline, July 9, 2026, period June 5-July 9); payment expected 1-3 business days and no later than 7 calendar days after pricing date.</w:t>
            </w:r>
          </w:p>
          <w:p>
            <w:r>
              <w:t>3.3 Repurchase history (extracted-unverified): FY2025 repurchase history — all four quarterly offers at the 5.00% minimum, and ALL UNDERSUBSCRIBED (no proration, no gates): Q4-2024 deadline repurchased 1/9/2025: 3,596K shares at $25.31 = $91,021K (2.09% of outstanding vs 8,595K offered); Q1-2025 on 4/10/2025: 5,064K at $24.75 = $125,329K (2.75%); Q2-2025 on 7/10/2025: 4,596K at $25.28 = $116,217K (2.37%); Q3-2025 on 10/9/2025: 5,819K at $25.34 = $147,465K (2.88%).</w:t>
            </w:r>
          </w:p>
          <w:p>
            <w:r>
              <w:t>3.4 Portfolio liquidity profile (extracted-unverified): Portfolio is predominantly illiquid: Level 3 assets $6,014,288K = 78.8% of $7,636,217K investments; 81% directly originated private credit; holdings 'generally subject to legal and other restrictions on resale or otherwise are less liquid than publicly traded securities.' Liquid sleeve: Level 1+2 $1,621,929K (21.2%) in syndicated loans/bonds plus $188,883K cash.</w:t>
            </w:r>
          </w:p>
          <w:p>
            <w:r>
              <w:t>3.6 Fund leverage &amp; facilities (extracted-unverified): Leverage at 12/31/2025: debt $1,588,331K + MRPS liability $1,064,291K ($1,070,000K liquidation preference) vs net assets $5,160,261K; borrowings = 20.52% and preferred = 13.66% of Managed Assets.</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documented-unavailable. 3.7 plan-side workflow.</w:t>
            </w:r>
          </w:p>
        </w:tc>
      </w:tr>
      <w:tr>
        <w:tc>
          <w:tcPr>
            <w:tcW w:type="dxa" w:w="1728"/>
          </w:tcPr>
          <w:p>
            <w:r>
              <w:t>4. Valuation (j)</w:t>
            </w:r>
          </w:p>
        </w:tc>
        <w:tc>
          <w:tcPr>
            <w:tcW w:type="dxa" w:w="7632"/>
          </w:tcPr>
          <w:p>
            <w:r>
              <w:t>Typed facts: 4.5 Ernst &amp; Young LLP (Big 4).</w:t>
            </w:r>
          </w:p>
          <w:p>
            <w:r>
              <w:t>4.1 Valuation policy &amp; NAV frequency (extracted-unverified): NAV determined DAILY (each NYSE trading day), per class, by the Adviser as Board-designated valuation designee under Rule 2a-5.</w:t>
            </w:r>
          </w:p>
          <w:p>
            <w:r>
              <w:t>4.2 Fair-value hierarchy (L1/2/3) (extracted-unverified): 12/31/2025 fair-value hierarchy (investments, $K): Level 1 $1,642 (0.02%), Level 2 $1,620,287 (21.2%), Level 3 $6,014,288 (78.8%), total $7,636,217.</w:t>
            </w:r>
          </w:p>
          <w:p>
            <w:r>
              <w:t>4.3 Independent valuation agent (partial): No named independent valuation agent.</w:t>
            </w:r>
          </w:p>
          <w:p>
            <w:r>
              <w:t>4.4 Methodology by asset type (extracted-unverified): By asset type: quoted/observable assets — market quotations, dealer quotes, pricing services (L1/L2).</w:t>
            </w:r>
          </w:p>
          <w:p>
            <w:r>
              <w:t>4.5 Auditor &amp; opinion (extracted-unverified): Auditor: Ernst &amp; Young LLP (Big 4), auditor since 2016; unqualified opinion on the FY2025 consolidated financial statements and financial highlights for all periods since commencement of operations (1/26/2017).</w:t>
            </w:r>
          </w:p>
          <w:p>
            <w:r>
              <w:t>4.6 NAV restatement history (structured): N-CEN structured flag, latest period 31-DEC-2025 ONLY: IS_NAV_ERROR_CORRECTED=N.</w:t>
            </w:r>
          </w:p>
          <w:p>
            <w:r>
              <w:t>4.8 Smoothing diagnostics (computed): SMOOTHING DIAGNOSTICS (computed from daily Class I NAV): monthly lag-1 autocorr 0.075; raw ann vol 6.07% vs de-smoothed 6.57%; max drawdown on monthly NAV path -15.48%.</w:t>
            </w:r>
          </w:p>
          <w:p>
            <w:r>
              <w:t>Not applicable: 4.7 documented-unavailable. 4.9 documented-unavailable.</w:t>
            </w:r>
          </w:p>
        </w:tc>
      </w:tr>
      <w:tr>
        <w:tc>
          <w:tcPr>
            <w:tcW w:type="dxa" w:w="1728"/>
          </w:tcPr>
          <w:p>
            <w:r>
              <w:t>5. Performance Benchmarks (k)</w:t>
            </w:r>
          </w:p>
        </w:tc>
        <w:tc>
          <w:tcPr>
            <w:tcW w:type="dxa" w:w="7632"/>
          </w:tcPr>
          <w:p>
            <w:r>
              <w:t>Typed facts: 5.3 BKLN selected, 9/12.</w:t>
            </w:r>
          </w:p>
          <w:p>
            <w:r>
              <w:t>5.1 Self-declared benchmark (extracted-unverified): Self-declared broad-based benchmark: Credit Suisse Leveraged Loan Index (CSLLI) — 'deemed to be an appropriate broad-based securities market index for the Fund' in the annual report's required performance presentation (hypothetical $10,000 Class A growth chart).</w:t>
            </w:r>
          </w:p>
          <w:p>
            <w:r>
              <w:t>5.2 Public index series (partial): Public index reference points cited for 2025 in the shareholder letter: syndicated loans +5.94% (S&amp;P UBS Leveraged Loan Index), high yield +8.50% (ICE BofA US High Yield Index), S&amp;P 500 +17.86%, Bloomberg Aggregate +7.30%.</w:t>
            </w:r>
          </w:p>
          <w:p>
            <w:r>
              <w:t>5.3 Alt asset-class indices (computed): Benchmark candidates evaluated by the engine (Tark benchmark rubric, 12 points, threshold 7 of 12, strategy gate below 2 of 3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proxy Senior loan investable proxy (BKLN, for Morningstar LSTA class), primary slot): window 2018-07-18 to 2026-07-17 (series comparison, clipped: proxy series begins 2018-07-18, proxy series ends 2026-07-17).</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interval fund (Rule 23c-3). 6.4 Form 1099.</w:t>
            </w:r>
          </w:p>
          <w:p>
            <w:r>
              <w:t>6.1 Structure map (extracted-unverified): Structure: Delaware statutory trust (organized 6/21/2016), diversified closed-end management company registered under the 1940 Act, operated as a continuously offered INTERVAL FUND (Rule 23c-3), unlisted; RIC for tax.</w:t>
            </w:r>
          </w:p>
          <w:p>
            <w:r>
              <w:t>6.2 Strategy &amp; instrument complexity (extracted-unverified): High complexity, multi-sleeve global credit: &gt;=80% of Managed Assets in directly originated loans, secured floating/fixed syndicated loans, corporate bonds, ABS, CRE loans and other credit instruments (incl. mezzanine, mortgages, distressed); US and European direct lending, high yield, structured credit/CLOs, real estate debt; predominantly below investment grade ('junk') — 'an investment in the Fund should be considered speculative.' Uses leverage (3 revolvers + 12 MRPS series), interest-rate swaps, credit default swaps (buy and sell protection), FX forwards, short sales, PIK income ($88,235K PIK interest+dividends in FY2025), foreign currencies, unfunded commitments.</w:t>
            </w:r>
          </w:p>
          <w:p>
            <w:r>
              <w:t>6.3 Conflicts &amp; affiliated transactions (extracted-unverified): Dual-adviser economics: Adviser (CAM, a CION/Ares JV controlled by Ares) receives 1.25% of Managed Assets + 15% income incentive; it pays Sub-Adviser (Ares Capital Management II) 40% of fees actually received and retained.</w:t>
            </w:r>
          </w:p>
          <w:p>
            <w:r>
              <w:t>6.4 Tax reporting (1099 vs K-1) (extracted-unverified): RIC under Subchapter M; fiscal and tax year end December 31; shareholders receive Form 1099-DIV (no K-1).</w:t>
            </w:r>
          </w:p>
          <w:p>
            <w:r>
              <w:t>6.5 Service-provider web (extracted-unverified): Service-provider web: Adviser CION Ares Management, LLC; Sub-Adviser Ares Capital Management II LLC; adviser-affiliate administrator services (CAM Administration Agreement, $3,995K FY2025) plus Ares Operations LLC support; third-party administrator ALPS Fund Services, Inc. ($3,909K); transfer agent SS&amp;C GIDS, Inc. ($1,450K); custodian State Street Bank and Trust Company (also a lender via the State Street Credit Facility); distributor ALPS Distributors, Inc.; affiliated dealer manager/wholesale marketing agent CION Securities, LLC; auditor Ernst &amp; Young LLP; counsel Willkie Farr &amp; Gallagher LLP; swap counterparty Goldman Sachs International; lenders Wells Fargo (facility) and BNP.</w:t>
            </w:r>
          </w:p>
          <w:p>
            <w:r>
              <w:t>6.7 Participant communicability (partial): Communicability challenge is documented in the filings' own language: the Fund 'is not intended to be a typical traded investment,' is 'suitable only for long-term investors who can bear the risks associated with the limited liquidity of the Shares,' should be 'considered speculative,' and shareholders must understand interval repurchase mechanics, proration risk and NAV fluctuation between tender and pricing.</w:t>
            </w:r>
          </w:p>
          <w:p>
            <w:r>
              <w:t>Not applicable: 6.6 plan-side workflow. 6.8 workflow, not data.</w:t>
            </w:r>
          </w:p>
        </w:tc>
      </w:tr>
    </w:tbl>
    <w:p>
      <w:pPr>
        <w:pStyle w:val="Heading1"/>
      </w:pPr>
      <w:r>
        <w:t>Benchmark selection and justification</w:t>
      </w:r>
    </w:p>
    <w:p>
      <w:pPr>
        <w:pStyle w:val="Heading2"/>
      </w:pPr>
      <w:r>
        <w:t>Primary: Senior loan investable proxy (BKLN, for Morningstar LSTA class) (score 9/12)</w:t>
      </w:r>
    </w:p>
    <w:p>
      <w:r>
        <w:t>Window 2018-07-18 to 2026-07-17 (clipped: proxy series begins 2018-07-18, proxy series ends 2026-07-17): fund 6.08%/yr (Yahoo adjusted close, approximates NAV total return) vs public proxy 4.38%/yr, KS-PME 1.1374, Direct Alpha 1.62%/yr.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1.0508 (97 equal contributions at the window start and each month-end inside it, valued at the window end). The two-point figure is primary.</w:t>
      </w:r>
    </w:p>
    <w:p>
      <w:pPr>
        <w:pStyle w:val="ListBullet"/>
      </w:pPr>
      <w:r>
        <w:t>strategy_match 2/3: the public-market version of the asset class (syndicated loans for diversified credit)</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Morningstar LSTA class): the registry affiliation map ties it to none of the fund's advisers</w:t>
      </w:r>
    </w:p>
    <w:p>
      <w:pPr>
        <w:pStyle w:val="Heading2"/>
      </w:pPr>
      <w:r>
        <w:t>Secondary: Peer composite, private credit cohort without CION Ares Diversified Credit Fund (members: Blackstone Private Credit Fund, Cliffwater Corporate Lending Fund, Blue Owl Credit Income Corp., PIMCO Flexible Credit Income Fund) (score 8/12)</w:t>
      </w:r>
    </w:p>
    <w:p>
      <w:r>
        <w:t>Window FY2021 to FY2025 (5 overlapping fiscal year(s) of 5 composite years): fund 7.63%/yr (filed fiscal-year returns) vs peer composite 8.83%/yr, relative wealth ratio 0.9461, annualized excess return -1.1%/yr. Not a public market equivalent: the peer composite is appraisal-based, constructed by the evaluator and cannot be bought. Disclosure: ratios on appraisal-lagged NAVs are window-sensitive and can be smoothing-flattered.</w:t>
      </w:r>
    </w:p>
    <w:p>
      <w:r>
        <w:t>Alignment: aligned by fiscal year-end year. Members' fiscal years end in month 03 (cliffwater_cclfx), 06 (pflex), 12 (bcred, ocic), the fund's in month 12.</w:t>
      </w:r>
    </w:p>
    <w:p>
      <w:r>
        <w:t>Two-point comparison: one contribution at the window start and one valuation at the end, on the fund's fiscal year-end dates. The ratio is fund growth divided by the composite's growth over the same fiscal years.</w:t>
      </w:r>
    </w:p>
    <w:p>
      <w:pPr>
        <w:pStyle w:val="ListBullet"/>
      </w:pPr>
      <w:r>
        <w:t>strategy_match 2/3: same asset class, different sub-strategy (direct lending vs diversified credit)</w:t>
      </w:r>
    </w:p>
    <w:p>
      <w:pPr>
        <w:pStyle w:val="ListBullet"/>
      </w:pPr>
      <w:r>
        <w:t>risk_liquidity_match 2/3: NAV-class series, annual observations vs the fund's daily return data and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1/2: constructed by the evaluator from the roster, not a third-party index. A composite the evaluator built from a roster the evaluator chose is not an independent yardstick, so it earns at most 1 of 2</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Cliffwater Direct Lending Index (CDLI)</w:t>
            </w:r>
          </w:p>
        </w:tc>
        <w:tc>
          <w:tcPr>
            <w:tcW w:type="dxa" w:w="1152"/>
          </w:tcPr>
          <w:p>
            <w:r>
              <w:t>6/12</w:t>
            </w:r>
          </w:p>
        </w:tc>
        <w:tc>
          <w:tcPr>
            <w:tcW w:type="dxa" w:w="4752"/>
          </w:tcPr>
          <w:p>
            <w:r>
              <w:t>score 6/12 below primary threshold 7</w:t>
            </w:r>
          </w:p>
        </w:tc>
      </w:tr>
      <w:tr>
        <w:tc>
          <w:tcPr>
            <w:tcW w:type="dxa" w:w="3456"/>
          </w:tcPr>
          <w:p>
            <w:r>
              <w:t>Credit Suisse Leveraged Loan Index (CSLLI)</w:t>
            </w:r>
          </w:p>
        </w:tc>
        <w:tc>
          <w:tcPr>
            <w:tcW w:type="dxa" w:w="1152"/>
          </w:tcPr>
          <w:p>
            <w:r>
              <w:t>5/12</w:t>
            </w:r>
          </w:p>
        </w:tc>
        <w:tc>
          <w:tcPr>
            <w:tcW w:type="dxa" w:w="4752"/>
          </w:tcPr>
          <w:p>
            <w:r>
              <w:t>score 5/12 below primary threshold 7</w:t>
            </w:r>
          </w:p>
        </w:tc>
      </w:tr>
    </w:tbl>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window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plan_consulting_alumni.json (Form 5500, plan year 2024-01-01 to 2024-12-31).</w:t>
      </w:r>
    </w:p>
    <w:p>
      <w:pPr>
        <w:pStyle w:val="Heading1"/>
      </w:pPr>
      <w:r>
        <w:t>Peer cohort placement</w:t>
      </w:r>
    </w:p>
    <w:p>
      <w:r>
        <w:t>Evidence depth tier: COHORT. Cohort: Private credit (interval fund + non-traded BDC) (n=5). Membership rationale: Diversified credit in the cclfx/pflex wrapper (interval, quarterly 5%). Joins via the census promotion pipeline. The dual-adviser CION+Ares structure and a leverage-inclusive Managed Assets fee base (1.89% of net assets at FY2025 leverage) widen the cohort's fee-base axis. Daily Class I NAV (CADUX).</w:t>
      </w:r>
    </w:p>
    <w:p>
      <w:r>
        <w:t>Cohort placement (private credit cohort): mgmt fee: 50th percentile of cohort (n=5), at the median of 1.25 | expense ratio (bases differ, see notes): 50th percentile of cohort (n=5), at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Global management-consulting firm profit-sharing/401(k) plan (~$9.8B, NY) (ILLUSTRATIVE): CONDITIONAL-WEAK.</w:t>
      </w:r>
    </w:p>
    <w:p>
      <w:r>
        <w:t>Benchmark: Senior loan investable proxy (BKLN, for Morningstar LSTA class) selected as primary at 9/12, secondary Peer composite, private credit cohort without CION Ares Diversified Credit Fund (members: Blackstone Private Credit Fund, Cliffwater Corporate Lending Fund, Blue Owl Credit Income Corp., PIMCO Flexible Credit Income Fund) at 8/12.</w:t>
      </w:r>
    </w:p>
    <w:p>
      <w:r>
        <w:t>Flags raised by the record (each restates a typed value or verdict already in the artifacts, with its source):</w:t>
      </w:r>
    </w:p>
    <w:p>
      <w:pPr>
        <w:pStyle w:val="ListBullet"/>
      </w:pPr>
      <w:r>
        <w:t>Liquidity: ILLUSTRATIVE scenario verdict conditional-weak under this plan (base or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1, extracted-unverified 22, verified 0, computed 10, partial 11, fetched 0, n/a 10, pending 0. 44 of 44 resolvable, 0 verified, 10 n/a by wrapper.</w:t>
      </w:r>
    </w:p>
    <w:p>
      <w:r>
        <w:t>Of the 44 evidenced cells, 44 carry a source document, 44 a section, 34 a verbatim quote (computed cells carry their computation and inputs instead of a quote) and 44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filed 2026-03-06 (FYE 2025-12-31) and N-23C3A filed 2026-06-05, CIK 1678124</w:t>
            </w:r>
          </w:p>
        </w:tc>
        <w:tc>
          <w:tcPr>
            <w:tcW w:type="dxa" w:w="5184"/>
          </w:tcPr>
          <w:p>
            <w:r>
              <w:t>N-CSR 2026-03-06 accession 0001104659-26-024607 https://www.sec.gov/Archives/edgar/data/1678124/000110465926024607/tm261643d1_ncsr.htm</w:t>
            </w:r>
          </w:p>
          <w:p>
            <w:r>
              <w:t>N-23C3A 2026-06-05 accession 0001104659-26-070762 https://www.sec.gov/Archives/edgar/data/1678124/000110465926070762/tm2616799d1_n23c3a.htm</w:t>
            </w:r>
          </w:p>
        </w:tc>
      </w:tr>
      <w:tr>
        <w:tc>
          <w:tcPr>
            <w:tcW w:type="dxa" w:w="720"/>
          </w:tcPr>
          <w:p>
            <w:r>
              <w:t>1.2</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1.3</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1.4</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1.5</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1.6</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1.7</w:t>
            </w:r>
          </w:p>
        </w:tc>
        <w:tc>
          <w:tcPr>
            <w:tcW w:type="dxa" w:w="3456"/>
          </w:tcPr>
          <w:p>
            <w:r>
              <w:t>the held daily series CADUX (Yahoo adjusted close) (monthly resample)</w:t>
            </w:r>
          </w:p>
        </w:tc>
        <w:tc>
          <w:tcPr>
            <w:tcW w:type="dxa" w:w="5184"/>
          </w:tcPr>
          <w:p>
            <w:r>
              <w:t>accession not on record: no filing reference in the source field</w:t>
            </w:r>
          </w:p>
        </w:tc>
      </w:tr>
      <w:tr>
        <w:tc>
          <w:tcPr>
            <w:tcW w:type="dxa" w:w="720"/>
          </w:tcPr>
          <w:p>
            <w:r>
              <w:t>1.8</w:t>
            </w:r>
          </w:p>
        </w:tc>
        <w:tc>
          <w:tcPr>
            <w:tcW w:type="dxa" w:w="3456"/>
          </w:tcPr>
          <w:p>
            <w:r>
              <w:t>benchmark selection artifact (CION Ares Diversified Credit Fund)</w:t>
            </w:r>
          </w:p>
        </w:tc>
        <w:tc>
          <w:tcPr>
            <w:tcW w:type="dxa" w:w="5184"/>
          </w:tcPr>
          <w:p>
            <w:r>
              <w:t>accession not on record: no filing reference in the source field</w:t>
            </w:r>
          </w:p>
        </w:tc>
      </w:tr>
      <w:tr>
        <w:tc>
          <w:tcPr>
            <w:tcW w:type="dxa" w:w="720"/>
          </w:tcPr>
          <w:p>
            <w:r>
              <w:t>1.9</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1.11</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2.1</w:t>
            </w:r>
          </w:p>
        </w:tc>
        <w:tc>
          <w:tcPr>
            <w:tcW w:type="dxa" w:w="3456"/>
          </w:tcPr>
          <w:p>
            <w:r>
              <w:t>486BPOS filed 2026-04-29 and N-CSR filed 2026-03-06,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2.2</w:t>
            </w:r>
          </w:p>
        </w:tc>
        <w:tc>
          <w:tcPr>
            <w:tcW w:type="dxa" w:w="3456"/>
          </w:tcPr>
          <w:p>
            <w:r>
              <w:t>N-CSR filed 2026-03-06 (Note 3) and 486BPOS filed 2026-04-29 (fee table fn. 5),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2.3</w:t>
            </w:r>
          </w:p>
        </w:tc>
        <w:tc>
          <w:tcPr>
            <w:tcW w:type="dxa" w:w="3456"/>
          </w:tcPr>
          <w:p>
            <w:r>
              <w:t>486BPOS filed 2026-04-29 (Summary of Fees and Expenses, all classes) and N-CSR filed 2026-03-06 (Note 3; Financial Highlights),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2.6</w:t>
            </w:r>
          </w:p>
        </w:tc>
        <w:tc>
          <w:tcPr>
            <w:tcW w:type="dxa" w:w="3456"/>
          </w:tcPr>
          <w:p>
            <w:r>
              <w:t>486BPOS filed 2026-04-29 (fee tables and Plan of Distribution) and N-CSR filed 2026-03-06 (Note 3 Distribution Plan),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2.7</w:t>
            </w:r>
          </w:p>
        </w:tc>
        <w:tc>
          <w:tcPr>
            <w:tcW w:type="dxa" w:w="3456"/>
          </w:tcPr>
          <w:p>
            <w:r>
              <w:t>N-23C3A filed 2026-06-05, CIK 1678124</w:t>
            </w:r>
          </w:p>
        </w:tc>
        <w:tc>
          <w:tcPr>
            <w:tcW w:type="dxa" w:w="5184"/>
          </w:tcPr>
          <w:p>
            <w:r>
              <w:t>N-23C3A 2026-06-05 accession 0001104659-26-070762 https://www.sec.gov/Archives/edgar/data/1678124/000110465926070762/tm2616799d1_n23c3a.htm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2.10</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3.1</w:t>
            </w:r>
          </w:p>
        </w:tc>
        <w:tc>
          <w:tcPr>
            <w:tcW w:type="dxa" w:w="3456"/>
          </w:tcPr>
          <w:p>
            <w:r>
              <w:t>486BPOS filed 2026-04-29, CIK 1678124</w:t>
            </w:r>
          </w:p>
        </w:tc>
        <w:tc>
          <w:tcPr>
            <w:tcW w:type="dxa" w:w="5184"/>
          </w:tcPr>
          <w:p>
            <w:r>
              <w:t>486BPOS 2026-04-29 accession 0001104659-26-051754 https://www.sec.gov/Archives/edgar/data/1678124/000110465926051754/tm2611264d1_486bpos.htm</w:t>
            </w:r>
          </w:p>
        </w:tc>
      </w:tr>
      <w:tr>
        <w:tc>
          <w:tcPr>
            <w:tcW w:type="dxa" w:w="720"/>
          </w:tcPr>
          <w:p>
            <w:r>
              <w:t>3.2</w:t>
            </w:r>
          </w:p>
        </w:tc>
        <w:tc>
          <w:tcPr>
            <w:tcW w:type="dxa" w:w="3456"/>
          </w:tcPr>
          <w:p>
            <w:r>
              <w:t>486BPOS filed 2026-04-29 (Share Repurchase Program) and N-23C3A filed 2026-06-05, CIK 1678124</w:t>
            </w:r>
          </w:p>
        </w:tc>
        <w:tc>
          <w:tcPr>
            <w:tcW w:type="dxa" w:w="5184"/>
          </w:tcPr>
          <w:p>
            <w:r>
              <w:t>486BPOS 2026-04-29 accession 0001104659-26-051754 https://www.sec.gov/Archives/edgar/data/1678124/000110465926051754/tm2611264d1_486bpos.htm</w:t>
            </w:r>
          </w:p>
          <w:p>
            <w:r>
              <w:t>N-23C3A 2026-06-05 accession 0001104659-26-070762 https://www.sec.gov/Archives/edgar/data/1678124/000110465926070762/tm2616799d1_n23c3a.htm</w:t>
            </w:r>
          </w:p>
        </w:tc>
      </w:tr>
      <w:tr>
        <w:tc>
          <w:tcPr>
            <w:tcW w:type="dxa" w:w="720"/>
          </w:tcPr>
          <w:p>
            <w:r>
              <w:t>3.3</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3.4</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3.6</w:t>
            </w:r>
          </w:p>
        </w:tc>
        <w:tc>
          <w:tcPr>
            <w:tcW w:type="dxa" w:w="3456"/>
          </w:tcPr>
          <w:p>
            <w:r>
              <w:t>N-CSR filed 2026-03-06 (Notes 6-7) and 486BPOS filed 2026-04-29 (Use of Leverage; MRP Shares),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3.8</w:t>
            </w:r>
          </w:p>
        </w:tc>
        <w:tc>
          <w:tcPr>
            <w:tcW w:type="dxa" w:w="3456"/>
          </w:tcPr>
          <w:p>
            <w:r>
              <w:t>liquidity match artifacts (CION Ares Diversified Credit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(CION Ares Diversified Credit Fund, four reference plans)</w:t>
            </w:r>
          </w:p>
        </w:tc>
        <w:tc>
          <w:tcPr>
            <w:tcW w:type="dxa" w:w="5184"/>
          </w:tcPr>
          <w:p>
            <w:r>
              <w:t>accession not on record: no filing reference in the source field</w:t>
            </w:r>
          </w:p>
        </w:tc>
      </w:tr>
      <w:tr>
        <w:tc>
          <w:tcPr>
            <w:tcW w:type="dxa" w:w="720"/>
          </w:tcPr>
          <w:p>
            <w:r>
              <w:t>4.1</w:t>
            </w:r>
          </w:p>
        </w:tc>
        <w:tc>
          <w:tcPr>
            <w:tcW w:type="dxa" w:w="3456"/>
          </w:tcPr>
          <w:p>
            <w:r>
              <w:t>486BPOS filed 2026-04-29, CIK 1678124</w:t>
            </w:r>
          </w:p>
        </w:tc>
        <w:tc>
          <w:tcPr>
            <w:tcW w:type="dxa" w:w="5184"/>
          </w:tcPr>
          <w:p>
            <w:r>
              <w:t>486BPOS 2026-04-29 accession 0001104659-26-051754 https://www.sec.gov/Archives/edgar/data/1678124/000110465926051754/tm2611264d1_486bpos.htm</w:t>
            </w:r>
          </w:p>
        </w:tc>
      </w:tr>
      <w:tr>
        <w:tc>
          <w:tcPr>
            <w:tcW w:type="dxa" w:w="720"/>
          </w:tcPr>
          <w:p>
            <w:r>
              <w:t>4.2</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4.3</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4.4</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4.5</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4.6</w:t>
            </w:r>
          </w:p>
        </w:tc>
        <w:tc>
          <w:tcPr>
            <w:tcW w:type="dxa" w:w="3456"/>
          </w:tcPr>
          <w:p>
            <w:r>
              <w:t>N-CEN 0001049169-26-000801 (structured dataset)</w:t>
            </w:r>
          </w:p>
        </w:tc>
        <w:tc>
          <w:tcPr>
            <w:tcW w:type="dxa" w:w="5184"/>
          </w:tcPr>
          <w:p>
            <w:r>
              <w:t>N-CEN accession 0001049169-26-000801 https://www.sec.gov/Archives/edgar/data/1678124/000104916926000801/</w:t>
            </w:r>
          </w:p>
        </w:tc>
      </w:tr>
      <w:tr>
        <w:tc>
          <w:tcPr>
            <w:tcW w:type="dxa" w:w="720"/>
          </w:tcPr>
          <w:p>
            <w:r>
              <w:t>4.8</w:t>
            </w:r>
          </w:p>
        </w:tc>
        <w:tc>
          <w:tcPr>
            <w:tcW w:type="dxa" w:w="3456"/>
          </w:tcPr>
          <w:p>
            <w:r>
              <w:t>the held daily series CADUX (Yahoo adjusted close) (monthly resample)</w:t>
            </w:r>
          </w:p>
        </w:tc>
        <w:tc>
          <w:tcPr>
            <w:tcW w:type="dxa" w:w="5184"/>
          </w:tcPr>
          <w:p>
            <w:r>
              <w:t>accession not on record: no filing reference in the source field</w:t>
            </w:r>
          </w:p>
        </w:tc>
      </w:tr>
      <w:tr>
        <w:tc>
          <w:tcPr>
            <w:tcW w:type="dxa" w:w="720"/>
          </w:tcPr>
          <w:p>
            <w:r>
              <w:t>5.1</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5.2</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5.3</w:t>
            </w:r>
          </w:p>
        </w:tc>
        <w:tc>
          <w:tcPr>
            <w:tcW w:type="dxa" w:w="3456"/>
          </w:tcPr>
          <w:p>
            <w:r>
              <w:t>benchmark selection artifact (CION Ares Diversified Credit Fund)</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(CION Ares Diversified Credit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(CION Ares Diversified Credit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filed 2026-03-06 (Note 1, Note 6) and 486BPOS filed 2026-04-29,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6.2</w:t>
            </w:r>
          </w:p>
        </w:tc>
        <w:tc>
          <w:tcPr>
            <w:tcW w:type="dxa" w:w="3456"/>
          </w:tcPr>
          <w:p>
            <w:r>
              <w:t>486BPOS filed 2026-04-29 and N-CSR filed 2026-03-06,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6.3</w:t>
            </w:r>
          </w:p>
        </w:tc>
        <w:tc>
          <w:tcPr>
            <w:tcW w:type="dxa" w:w="3456"/>
          </w:tcPr>
          <w:p>
            <w:r>
              <w:t>N-CSR filed 2026-03-06 (Note 3; Letter) and 486BPOS filed 2026-04-29 (Conflicts of Interest),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6.4</w:t>
            </w:r>
          </w:p>
        </w:tc>
        <w:tc>
          <w:tcPr>
            <w:tcW w:type="dxa" w:w="3456"/>
          </w:tcPr>
          <w:p>
            <w:r>
              <w:t>486BPOS filed 2026-04-29 and N-CSR filed 2026-03-06 (Note 2, Note 10),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6.5</w:t>
            </w:r>
          </w:p>
        </w:tc>
        <w:tc>
          <w:tcPr>
            <w:tcW w:type="dxa" w:w="3456"/>
          </w:tcPr>
          <w:p>
            <w:r>
              <w:t>N-CSR filed 2026-03-06 (Note 3; Corporate Information) and 486BPOS filed 2026-04-29,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6.7</w:t>
            </w:r>
          </w:p>
        </w:tc>
        <w:tc>
          <w:tcPr>
            <w:tcW w:type="dxa" w:w="3456"/>
          </w:tcPr>
          <w:p>
            <w:r>
              <w:t>486BPOS filed 2026-04-29, CIK 1678124</w:t>
            </w:r>
          </w:p>
        </w:tc>
        <w:tc>
          <w:tcPr>
            <w:tcW w:type="dxa" w:w="5184"/>
          </w:tcPr>
          <w:p>
            <w:r>
              <w:t>486BPOS 2026-04-29 accession 0001104659-26-051754 https://www.sec.gov/Archives/edgar/data/1678124/000110465926051754/tm2611264d1_486bpos.htm</w:t>
            </w:r>
          </w:p>
        </w:tc>
      </w:tr>
    </w:tbl>
    <w:p>
      <w:r>
        <w:t>Data sources: SEC EDGAR filings (4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