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Cliffwater Corporate Lending Fund (TRUE interval fund (Rule 23c-3), private credit, CIK 1735964)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Benchmark: Peer composite, private credit cohort without Cliffwater Corporate Lending Fund (members: Blackstone Private Credit Fund, CION Ares Diversified Credit Fund, Blue Owl Credit Income Corp., PIMCO Flexible Credit Income Fund) at 9/12, relative wealth ratio 0.9756 vs the peer composite, annualized excess return -0.61%/yr (not a public market equivalent) over FY2021 to FY2025.</w:t>
      </w:r>
    </w:p>
    <w:p>
      <w:r>
        <w:t>Flags raised by the record (each restates a typed value or verdict,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Cliffwater Corporate Lending Fund (members: Blackstone Private Credit Fund, CION Ares Diversified Credit Fund, Blue Owl Credit Income Corp., PIMCO Flexible Credit Income Fund)</w:t>
            </w:r>
          </w:p>
        </w:tc>
        <w:tc>
          <w:tcPr>
            <w:tcW w:type="dxa" w:w="864"/>
          </w:tcPr>
          <w:p>
            <w:r>
              <w:t>9/12</w:t>
            </w:r>
          </w:p>
        </w:tc>
        <w:tc>
          <w:tcPr>
            <w:tcW w:type="dxa" w:w="3888"/>
          </w:tcPr>
          <w:p>
            <w:r>
              <w:t>relative wealth ratio 0.9756 vs the peer composite, annualized excess return -0.61%/yr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1.2532, Direct Alpha 3.22%/yr, 2019-06-05 to 2026-07-17</w:t>
            </w:r>
          </w:p>
        </w:tc>
      </w:tr>
      <w:tr>
        <w:tc>
          <w:tcPr>
            <w:tcW w:type="dxa" w:w="1152"/>
          </w:tcPr>
          <w:p>
            <w:r>
              <w:t>rejected</w:t>
            </w:r>
          </w:p>
        </w:tc>
        <w:tc>
          <w:tcPr>
            <w:tcW w:type="dxa" w:w="3456"/>
          </w:tcPr>
          <w:p>
            <w:r>
              <w:t>Cliffwater Direct Lending Index (CDLI)</w:t>
            </w:r>
          </w:p>
        </w:tc>
        <w:tc>
          <w:tcPr>
            <w:tcW w:type="dxa" w:w="864"/>
          </w:tcPr>
          <w:p>
            <w:r>
              <w:t>5/12</w:t>
            </w:r>
          </w:p>
        </w:tc>
        <w:tc>
          <w:tcPr>
            <w:tcW w:type="dxa" w:w="3888"/>
          </w:tcPr>
          <w:p>
            <w:r>
              <w:t>score 5/12 below primary threshold 7</w:t>
            </w:r>
          </w:p>
        </w:tc>
      </w:tr>
    </w:tbl>
    <w:p>
      <w:pPr>
        <w:pStyle w:val="Heading1"/>
      </w:pPr>
      <w:r>
        <w:t>Exhibit B. Liquidity match for this plan</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quarterly with a 5% cap per quarter on outstanding shares.</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1.00%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1.36% expense ratio, before waivers, excluding interest expense (3.31% including interest, FY2026)</w:t>
            </w:r>
          </w:p>
        </w:tc>
        <w:tc>
          <w:tcPr>
            <w:tcW w:type="dxa" w:w="2880"/>
          </w:tcPr>
          <w:p>
            <w:r>
              <w:t>extracted-unverified</w:t>
            </w:r>
          </w:p>
        </w:tc>
      </w:tr>
      <w:tr>
        <w:tc>
          <w:tcPr>
            <w:tcW w:type="dxa" w:w="2880"/>
          </w:tcPr>
          <w:p>
            <w:r>
              <w:t>2.4 AFFE</w:t>
            </w:r>
          </w:p>
        </w:tc>
        <w:tc>
          <w:tcPr>
            <w:tcW w:type="dxa" w:w="3600"/>
          </w:tcPr>
          <w:p>
            <w:r>
              <w:t>AFFE 0.25%</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Private credit (interval fund + non-traded BDC) (n=5).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23, verified 0, computed 12, partial 7, fetched 2,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