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Hamilton Lane Private Assets Fund (tender-offer fund ('40 Act); NOT an interval fund, CIK 1803491)</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Benchmark: Peer composite, evergreen private equity cohort without Hamilton Lane Private Assets Fund (members: AMG Pantheon Fund, LLC, Ares Private Markets Fund, KKR Private Equity Conglomerate LLC, StepStone Private Markets) at 9/12, relative wealth ratio 1.0693 vs the peer composite, annualized excess return 1.35%/yr (not a public market equivalent) over FY2022 to FY2026.</w:t>
      </w:r>
    </w:p>
    <w:p>
      <w:r>
        <w:t>Flags raised by the record (each restates a typed value or verdict,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Hamilton Lane Private Assets Fund (members: AMG Pantheon Fund, LLC, Ares Private Markets Fund, KKR Private Equity Conglomerate LLC, StepStone Private Markets)</w:t>
            </w:r>
          </w:p>
        </w:tc>
        <w:tc>
          <w:tcPr>
            <w:tcW w:type="dxa" w:w="864"/>
          </w:tcPr>
          <w:p>
            <w:r>
              <w:t>9/12</w:t>
            </w:r>
          </w:p>
        </w:tc>
        <w:tc>
          <w:tcPr>
            <w:tcW w:type="dxa" w:w="3888"/>
          </w:tcPr>
          <w:p>
            <w:r>
              <w:t>relative wealth ratio 1.0693 vs the peer composite, annualized excess return 1.35%/yr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1.9565, Direct Alpha 14.37%/yr,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net assets.</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10%</w:t>
            </w:r>
          </w:p>
        </w:tc>
        <w:tc>
          <w:tcPr>
            <w:tcW w:type="dxa" w:w="2880"/>
          </w:tcPr>
          <w:p>
            <w:r>
              <w:t>extracted-unverified</w:t>
            </w:r>
          </w:p>
        </w:tc>
      </w:tr>
      <w:tr>
        <w:tc>
          <w:tcPr>
            <w:tcW w:type="dxa" w:w="2880"/>
          </w:tcPr>
          <w:p>
            <w:r>
              <w:t>2.3 Total expense ratio &amp; waivers</w:t>
            </w:r>
          </w:p>
        </w:tc>
        <w:tc>
          <w:tcPr>
            <w:tcW w:type="dxa" w:w="3600"/>
          </w:tcPr>
          <w:p>
            <w:r>
              <w:t>3.40% expense ratio, net, including the incentive fee, AFFE excluded (FY2026, Class I)</w:t>
            </w:r>
          </w:p>
        </w:tc>
        <w:tc>
          <w:tcPr>
            <w:tcW w:type="dxa" w:w="2880"/>
          </w:tcPr>
          <w:p>
            <w:r>
              <w:t>extracted-unverified</w:t>
            </w:r>
          </w:p>
        </w:tc>
      </w:tr>
      <w:tr>
        <w:tc>
          <w:tcPr>
            <w:tcW w:type="dxa" w:w="2880"/>
          </w:tcPr>
          <w:p>
            <w:r>
              <w:t>2.4 AFFE</w:t>
            </w:r>
          </w:p>
        </w:tc>
        <w:tc>
          <w:tcPr>
            <w:tcW w:type="dxa" w:w="3600"/>
          </w:tcPr>
          <w:p>
            <w:r>
              <w:t>AFFE 0.49%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fund-of-funds/secondaries in a tender-offer wrapper - founding cohort member.</w:t>
      </w:r>
    </w:p>
    <w:p>
      <w:r>
        <w:t>Cohort placement (evergreen private equity cohort): mgmt fee: 50th percentile of cohort (n=5), at the median of 1.4 | expense ratio (bases differ, see notes): 70th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28, verified 0, computed 10, partial 2,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