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Global management-consulting firm profit-sharing/401(k) plan (~$9.8B, NY)</w:t>
        <w:br/>
      </w:r>
      <w:r>
        <w:t>Product: JLL Income Property Trust, Inc. (non-traded REIT ('34 Act reporting, perpetual NAV REIT), CIK 1314152)</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CONDITIONAL-WEAK.</w:t>
      </w:r>
    </w:p>
    <w:p>
      <w:r>
        <w:t>Benchmark: Listed REIT investable proxy (VNQ) at 9/12.</w:t>
      </w:r>
    </w:p>
    <w:p>
      <w:r>
        <w:t>Flags raised by the record (each restates a typed value or verdict, with its source):</w:t>
      </w:r>
    </w:p>
    <w:p>
      <w:pPr>
        <w:pStyle w:val="ListBullet"/>
      </w:pPr>
      <w:r>
        <w:t>Liquidity: ILLUSTRATIVE scenario verdict conditional-weak under this plan (base or stressed demand above wrapper capacity)</w:t>
      </w:r>
    </w:p>
    <w:p>
      <w:r>
        <w:t>Evidence coverage: 35 of 35 resolvable, 0 verified, 19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Max attainable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Listed REIT investable proxy (VNQ)</w:t>
            </w:r>
          </w:p>
        </w:tc>
        <w:tc>
          <w:tcPr>
            <w:tcW w:type="dxa" w:w="864"/>
          </w:tcPr>
          <w:p>
            <w:r>
              <w:t>9/12</w:t>
            </w:r>
          </w:p>
        </w:tc>
        <w:tc>
          <w:tcPr>
            <w:tcW w:type="dxa" w:w="3888"/>
          </w:tcPr>
          <w:p>
            <w:r>
              <w:t>no computable fund return series on record: no multi-year per-class return series is printed: the FY2025 10-K gives net total return only as a 3.0% to 3.8% range across classes and an 8-quarter NAV path without distributions (cells 1.1 and 1.2)</w:t>
            </w:r>
          </w:p>
        </w:tc>
      </w:tr>
      <w:tr>
        <w:tc>
          <w:tcPr>
            <w:tcW w:type="dxa" w:w="1152"/>
          </w:tcPr>
          <w:p>
            <w:r>
              <w:t>secondary</w:t>
            </w:r>
          </w:p>
        </w:tc>
        <w:tc>
          <w:tcPr>
            <w:tcW w:type="dxa" w:w="3456"/>
          </w:tcPr>
          <w:p>
            <w:r>
              <w:t>NCREIF Fund Index - ODCE (private core RE)</w:t>
            </w:r>
          </w:p>
        </w:tc>
        <w:tc>
          <w:tcPr>
            <w:tcW w:type="dxa" w:w="864"/>
          </w:tcPr>
          <w:p>
            <w:r>
              <w:t>7/12</w:t>
            </w:r>
          </w:p>
        </w:tc>
        <w:tc>
          <w:tcPr>
            <w:tcW w:type="dxa" w:w="3888"/>
          </w:tcPr>
          <w:p>
            <w:r>
              <w:t>no computable fund return series on record: no multi-year per-class return series is printed: the FY2025 10-K gives net total return only as a 3.0% to 3.8% range across classes and an 8-quarter NAV path without distributions (cells 1.1 and 1.2)</w:t>
            </w:r>
          </w:p>
        </w:tc>
      </w:tr>
      <w:tr>
        <w:tc>
          <w:tcPr>
            <w:tcW w:type="dxa" w:w="1152"/>
          </w:tcPr>
          <w:p>
            <w:r>
              <w:t>rejected</w:t>
            </w:r>
          </w:p>
        </w:tc>
        <w:tc>
          <w:tcPr>
            <w:tcW w:type="dxa" w:w="3456"/>
          </w:tcPr>
          <w:p>
            <w:r>
              <w:t>Cambridge Associates Real Estate benchmark</w:t>
            </w:r>
          </w:p>
        </w:tc>
        <w:tc>
          <w:tcPr>
            <w:tcW w:type="dxa" w:w="864"/>
          </w:tcPr>
          <w:p>
            <w:r>
              <w:t>7/12</w:t>
            </w:r>
          </w:p>
        </w:tc>
        <w:tc>
          <w:tcPr>
            <w:tcW w:type="dxa" w:w="3888"/>
          </w:tcPr>
          <w:p>
            <w:r>
              <w:t>outranked: score 7/12 vs primary 9/12 and secondary 7/12 (only two slots). Retained in log as viable alternate</w:t>
            </w:r>
          </w:p>
        </w:tc>
      </w:tr>
      <w:tr>
        <w:tc>
          <w:tcPr>
            <w:tcW w:type="dxa" w:w="1152"/>
          </w:tcPr>
          <w:p>
            <w:r>
              <w:t>rejected</w:t>
            </w:r>
          </w:p>
        </w:tc>
        <w:tc>
          <w:tcPr>
            <w:tcW w:type="dxa" w:w="3456"/>
          </w:tcPr>
          <w:p>
            <w:r>
              <w:t>Peer composite, non-traded real estate cohort without JLL Income Property Trust, Inc. (members: Blackstone Real Estate Income Trust Inc, Starwood Real Estate Income Trust, Inc.)</w:t>
            </w:r>
          </w:p>
        </w:tc>
        <w:tc>
          <w:tcPr>
            <w:tcW w:type="dxa" w:w="864"/>
          </w:tcPr>
          <w:p>
            <w:r>
              <w:t>3/12</w:t>
            </w:r>
          </w:p>
        </w:tc>
        <w:tc>
          <w:tcPr>
            <w:tcW w:type="dxa" w:w="3888"/>
          </w:tcPr>
          <w:p>
            <w:r>
              <w:t>score 3/12 below primary threshold 7</w:t>
            </w:r>
          </w:p>
        </w:tc>
      </w:tr>
    </w:tbl>
    <w:p>
      <w:pPr>
        <w:pStyle w:val="Heading1"/>
      </w:pPr>
      <w:r>
        <w:t>Exhibit B. Liquidity match for this plan</w:t>
      </w:r>
    </w:p>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daily but only within a 5% cap per quarter on NAV.</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daily repurchase requests, 5% cap per quarter on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20%.</w:t>
      </w:r>
    </w:p>
    <w:p>
      <w:r>
        <w:t>Stressed (tail turnover x2, active turnover x1.5 vs base scenario): demand $129.5M/yr = 26.4% of the position. EXCEEDS annual wrapper capacity. Unmet demand rolls into later windows (gating-equivalent outcome).</w:t>
      </w:r>
    </w:p>
    <w:p>
      <w:r>
        <w:t>Scenario verdict (ILLUSTRATIVE, this plan): CONDITIONAL-WEAK.</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Scenario demand (illustrative): 13.7% of the position per year vs 20% annual wrapper capacity. THIN HEADROOM: demand consumes over 60% of wrapper capacity, so proration in any oversubscribed window would push the shortfall into the next window.</w:t>
      </w:r>
    </w:p>
    <w:p>
      <w:pPr>
        <w:pStyle w:val="ListBullet"/>
      </w:pPr>
      <w:r>
        <w:t>Scenario verdict (ILLUSTRATIVE, this plan): conditional-weak.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plan: plan_consulting_alumni.json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NAV</w:t>
            </w:r>
          </w:p>
        </w:tc>
        <w:tc>
          <w:tcPr>
            <w:tcW w:type="dxa" w:w="2880"/>
          </w:tcPr>
          <w:p>
            <w:r>
              <w:t>extracted-unverified</w:t>
            </w:r>
          </w:p>
        </w:tc>
      </w:tr>
      <w:tr>
        <w:tc>
          <w:tcPr>
            <w:tcW w:type="dxa" w:w="2880"/>
          </w:tcPr>
          <w:p>
            <w:r>
              <w:t>2.2 Incentive fee terms</w:t>
            </w:r>
          </w:p>
        </w:tc>
        <w:tc>
          <w:tcPr>
            <w:tcW w:type="dxa" w:w="3600"/>
          </w:tcPr>
          <w:p>
            <w:r>
              <w:t>incentive fee: 10% / 7% hurdle</w:t>
            </w:r>
          </w:p>
        </w:tc>
        <w:tc>
          <w:tcPr>
            <w:tcW w:type="dxa" w:w="2880"/>
          </w:tcPr>
          <w:p>
            <w:r>
              <w:t>extracted-unverified</w:t>
            </w:r>
          </w:p>
        </w:tc>
      </w:tr>
      <w:tr>
        <w:tc>
          <w:tcPr>
            <w:tcW w:type="dxa" w:w="2880"/>
          </w:tcPr>
          <w:p>
            <w:r>
              <w:t>2.3 Total expense ratio &amp; waivers</w:t>
            </w:r>
          </w:p>
        </w:tc>
        <w:tc>
          <w:tcPr>
            <w:tcW w:type="dxa" w:w="3600"/>
          </w:tcPr>
          <w:p>
            <w:r>
              <w:t>no typed fact for this cell</w:t>
            </w:r>
          </w:p>
        </w:tc>
        <w:tc>
          <w:tcPr>
            <w:tcW w:type="dxa" w:w="2880"/>
          </w:tcPr>
          <w:p>
            <w:r>
              <w:t>extracted-unverified</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n/a</w:t>
            </w:r>
          </w:p>
        </w:tc>
        <w:tc>
          <w:tcPr>
            <w:tcW w:type="dxa" w:w="2880"/>
          </w:tcPr>
          <w:p>
            <w:r>
              <w:t>n/a - tax form not literally printed: zero hits for '1099' and 'K-1' across stripped 10-K, 10-Q and 424B3 (searched 2026-08-15)</w:t>
            </w:r>
          </w:p>
        </w:tc>
      </w:tr>
    </w:tbl>
    <w:p>
      <w:pPr>
        <w:pStyle w:val="Heading1"/>
      </w:pPr>
      <w:r>
        <w:t>Exhibit D. Peer cohort placement</w:t>
      </w:r>
    </w:p>
    <w:p>
      <w:r>
        <w:t>Cohort Non-traded NAV REITs (n=3). Perpetual NAV REIT of older vintage in the same wrapper class. NAV cadence and scale differences disclosed.</w:t>
      </w:r>
    </w:p>
    <w:p>
      <w:r>
        <w:t>Cohort placement (non-traded real estate cohort): mgmt fee: at the cohort median of 1.25 (n=3, too small for percentile language) | expense ratio (bases differ, see notes): fact unavailable for this member | repurchase cap: above the cohort median of 2 (n=3, too small for percentile language). Statistics and per-member values are in the cohort artifact, membership rationales in the typed facts.</w:t>
      </w:r>
    </w:p>
    <w:p>
      <w:pPr>
        <w:pStyle w:val="ListBullet"/>
      </w:pPr>
      <w:r>
        <w:t>NAV-CADENCE MIX: daily, monthly, and quarterly NAV processes embed different appraisal smoothing. Volatility and drawdown comparisons inherit that difference (see de-smoothing lab). [typed per product: breit: monthly, jll_ipt: daily, sreit: monthly]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w:t>
      </w:r>
    </w:p>
    <w:p>
      <w:pPr>
        <w:pStyle w:val="Heading1"/>
      </w:pPr>
      <w:r>
        <w:t>Provenance</w:t>
      </w:r>
    </w:p>
    <w:p>
      <w:r>
        <w:t>Cell status for this product: structured 0, extracted-unverified 24, verified 0, computed 5, partial 5, fetched 1, n/a 19,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