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KKR Private Equity Conglomerate LLC (non-traded '34 Act reporting company, CIK 1957845)</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1.3 3.19% expense ratio, GAAP total operating expenses including the 2.75% performance participation, not a 1940-Act ratio (FY2025, Class I). 1.8 KS-PME 0.90 vs PSP. 1.11 inception 2023-08-01, 2.4 years.</w:t>
            </w:r>
          </w:p>
          <w:p>
            <w:r>
              <w:t>1.1 Net total return series (extracted-unverified): Annual NAV per share, Class I (Note 10. Financial Highlights): $25.88 at 12/31/2023 (issued at $25.47 from 9/1/2023 inception; period 8/1-12/31/2023), $28.94 at 12/31/2024, $33.61 at 12/31/2025.</w:t>
            </w:r>
          </w:p>
          <w:p>
            <w:r>
              <w:t>1.2 Trailing &amp; calendar-year returns (extracted-unverified): Transactional NAV Total Returns (FY2025 10-K, MD&amp;A table): Year ended 12/31/2025 - Class D 14.80% / I 16.81% / S 9.55% / U 15.78% / R-D 16.49% / R-I 16.79% / R-U 15.79%.</w:t>
            </w:r>
          </w:p>
          <w:p>
            <w:r>
              <w:t>1.3 Gross vs net spread (extracted-unverified): No 1940-Act-style gross/net fee table exists (non-'40-Act 10-K filer).</w:t>
            </w:r>
          </w:p>
          <w:p>
            <w:r>
              <w:t>1.4 Distribution history &amp; composition (extracted-unverified): No distributions ever declared or paid: Company did not declare or pay any distributions from inception (initial capitalization December 6, 2022) through December 31, 2025; financial-highlights footnote (9) likewise states no distributions declared or paid during the years ended December 31, 2025, 2024 and 2023.</w:t>
            </w:r>
          </w:p>
          <w:p>
            <w:r>
              <w:t>1.8 Risk-adjusted metrics (PME etc) (computed): Primary Listed private equity investable proxy (PSP): KS-PME 0.8964 and Direct Alpha -4.58%/yr over 2023-09-01 to 2025-12-31 (series comparison), fund growth 1.3285x vs proxy growth 1.4819x on two-point flows (one contribution at the window start, one valuation at the end), fund return source: disclosed annualized figure (cell 1.2).</w:t>
            </w:r>
          </w:p>
          <w:p>
            <w:r>
              <w:t>1.11 Track record &amp; manager tenure (extracted-unverified): Company formed / initially capitalized December 6, 2022; Form 10 registration statement automatically effective June 13, 2023; commenced principal operations August 1, 2023.</w:t>
            </w:r>
          </w:p>
          <w:p>
            <w:r>
              <w:t>Not applicable: 1.5 no underlying JV/deal-level performance is printed - zero hits for IRR, MOIC or 'multiple of invested' in the FY2025 10-K; the Condensed Consolidated Schedule of Investments discloses each portfolio company only at estimated fair value and % of net assets (see 3.4/4.2), and JV/portfolio-company return reporting is KKR private LP-only reporting. 1.6 sub-annual return series not free-public for this wrapper (annual filing cadence; fact sheets attestation-gated). 1.7 sub-annual return series not free-public for this wrapper (annual filing cadence; fact sheets attestation-gated). 1.9 the Company commenced principal operations August 1, 2023, so its track record spans no major stress window (2008 GFC, March 2020 COVID drawdown, 2022 rate shock) - stress-window performance cannot exist for this vehicle. 1.10 not exchange-listed.</w:t>
            </w:r>
          </w:p>
        </w:tc>
      </w:tr>
      <w:tr>
        <w:tc>
          <w:tcPr>
            <w:tcW w:type="dxa" w:w="1728"/>
          </w:tcPr>
          <w:p>
            <w:r>
              <w:t>2. Fees (h)</w:t>
            </w:r>
          </w:p>
        </w:tc>
        <w:tc>
          <w:tcPr>
            <w:tcW w:type="dxa" w:w="7632"/>
          </w:tcPr>
          <w:p>
            <w:r>
              <w:t>Typed facts: 2.1 1.25% on NAV. 2.2 incentive fee: 15% / 5% hurdle. 2.7 early repurchase fee: 5% &lt; 24 months.</w:t>
            </w:r>
          </w:p>
          <w:p>
            <w:r>
              <w:t>2.1 Management fee (rate AND base) (extracted-unverified): 1.25% per annum of month-end NAV (Investor Shares: S/D/I/U et al.), paid monthly.</w:t>
            </w:r>
          </w:p>
          <w:p>
            <w:r>
              <w:t>2.2 Incentive fee terms (extracted-unverified): Performance Participation Allocation: 15.0% of Total Return on Investor Shares, subject to 5.0% annual Hurdle + High Water Mark + 100% Catch-Up.</w:t>
            </w:r>
          </w:p>
          <w:p>
            <w:r>
              <w:t>2.3 Total expense ratio &amp; waivers (partial): PARTIAL: Expense Limitation Agreement capped Specified Expenses at 0.60% 'through and including June 30, 2025' - expiry is itself an evaluative datum.</w:t>
            </w:r>
          </w:p>
          <w:p>
            <w:r>
              <w:t>2.4 AFFE (partial): PARTIAL: No 'Acquired Fund Fees and Expenses' line exists — K-PEC is a non-'40-Act 10-K filer with no 1940-Act-style fee table anywhere in the filing.</w:t>
            </w:r>
          </w:p>
          <w:p>
            <w:r>
              <w:t>2.5 Underlying GP economics (partial): No numeric underlying-fee ranges are printed anywhere in the FY2025 10-K (no '1% to 2%'/'10% to 20%'-style table exists; the fund owns portfolio companies via JVs, not underlying GP funds).</w:t>
            </w:r>
          </w:p>
          <w:p>
            <w:r>
              <w:t>2.6 Loads &amp; servicing fees (extracted-unverified): Sales loads: Class S Shares subject to maximum sales load up to 3.00% of offering price plus dealer-manager fee of 0.50% (certain broker-dealers may charge dealer-manager fee up to 1.50%, with sales load + dealer-manager fee capped at 3.50%).</w:t>
            </w:r>
          </w:p>
          <w:p>
            <w:r>
              <w:t>2.7 Early repurchase fee (extracted-unverified): Early Repurchase Fee: 5.0% of the NAV of Investor Shares repurchased within 24 months of the original issue date.</w:t>
            </w:r>
          </w:p>
          <w:p>
            <w:r>
              <w:t>2.9 Fee peer percentile (computed): Cohort placement (evergreen private equity cohort): mgmt fee: 30th percentile of cohort (n=5), below the median of 1.4 | expense ratio (bases differ, see notes): 50th percentile of cohort (n=5), at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aggregate NAV. 3.3 no gating identified in the filings on record. 3.9 structural verdict conditional, plan-independent.</w:t>
            </w:r>
          </w:p>
          <w:p>
            <w:r>
              <w:t>3.1 Wrapper liquidity terms (extracted-unverified): Quarterly share repurchase plan: limited to 5.0% of aggregate NAV attributable to Investor Share classes per calendar quarter (measured on avg aggregate NAV of the immediately preceding quarter).</w:t>
            </w:r>
          </w:p>
          <w:p>
            <w:r>
              <w:t>3.2 Repurchase mechanics (extracted-unverified): Quarterly repurchase offers under the share repurchase plan; all limits, prices and fees calculated on Transactional NAV.</w:t>
            </w:r>
          </w:p>
          <w:p>
            <w:r>
              <w:t>3.3 Repurchase history (extracted-unverified): FY2025 plan repurchases by class (MD&amp;A - Share Repurchases): 247,476 Class R-I @ $31.84 avg; 576,591 Class R-U @ $30.97; 12,620 Class U @ $31.77; 12,369 Class I @ $32.64; 819 Class D @ $32.57; 20,516 Class R-D @ $32.57.</w:t>
            </w:r>
          </w:p>
          <w:p>
            <w:r>
              <w:t>3.4 Portfolio liquidity profile (extracted-unverified): As of 12/31/2025 ($ thousands): fair value hierarchy — portfolio companies Level I $23,278, Level II $0, Level III $8,980,760, NAV practical expedient $5,411 (portfolio companies total $9,009,449); money market funds (Level I) $963,528; FX forwards Level II +$27,607 / -$5,177; total investments $9,995,407 (vs total $4,549,771 with Level III $3,918,519 at 12/31/2024).</w:t>
            </w:r>
          </w:p>
          <w:p>
            <w:r>
              <w:t>3.6 Fund leverage &amp; facilities (extracted-unverified): Revolving Credit Agreement (Note 6, $ thousands): entered 12/23/2024 by indirect-subsidiary Borrowers with Sumitomo Mitsui Banking Corporation as joint lead arranger/administrative agent and affiliate KKR Capital Markets LLC as joint lead arranger.</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CIT only.</w:t>
            </w:r>
          </w:p>
        </w:tc>
      </w:tr>
      <w:tr>
        <w:tc>
          <w:tcPr>
            <w:tcW w:type="dxa" w:w="1728"/>
          </w:tcPr>
          <w:p>
            <w:r>
              <w:t>4. Valuation (j)</w:t>
            </w:r>
          </w:p>
        </w:tc>
        <w:tc>
          <w:tcPr>
            <w:tcW w:type="dxa" w:w="7632"/>
          </w:tcPr>
          <w:p>
            <w:r>
              <w:t>Typed facts: 4.5 Deloitte &amp; Touche LLP (Big 4).</w:t>
            </w:r>
          </w:p>
          <w:p>
            <w:r>
              <w:t>4.1 Valuation policy &amp; NAV frequency (extracted-unverified): NAV frequency: monthly — 'The Manager determines the NAV of our Shares monthly' (Manager = KKR DAV Manager LLC).</w:t>
            </w:r>
          </w:p>
          <w:p>
            <w:r>
              <w:t>4.2 Fair-value hierarchy (L1/2/3) (extracted-unverified): Fair value hierarchy at 12/31/2025 ($ thousands, Note 4): Portfolio companies - Level I $23,278 / Level II $0 / Level III $8,980,760 / NAV practical expedient $5,411 = $9,009,449 total; FX-forward unrealized appreciation - Level II $27,607; FX-forward unrealized depreciation - Level II $(5,177); Money market funds - Level I $963,528.</w:t>
            </w:r>
          </w:p>
          <w:p>
            <w:r>
              <w:t>4.3 Independent valuation agent (extracted-unverified): Independent valuation involvement disclosed but NO firm is named anywhere in the 10-K or 10-Q: for assets without a reliable readily available market price, the Manager 'engages one or more independent valuation firms to provide positive assurance regarding the reasonableness of such valuations as of the relevant measurement date', with the Manager remaining ultimately responsible for fair value determinations.</w:t>
            </w:r>
          </w:p>
          <w:p>
            <w:r>
              <w:t>4.4 Methodology by asset type (extracted-unverified): Level III portfolio companies ($8,980,760k at 12/31/2025) are valued via a weighted combination of market comparables, discounted cash flow, and transaction price/other.</w:t>
            </w:r>
          </w:p>
          <w:p>
            <w:r>
              <w:t>4.5 Auditor &amp; opinion (extracted-unverified): Deloitte &amp; Touche LLP, San Francisco; auditor since 2022 (Big-4).</w:t>
            </w:r>
          </w:p>
          <w:p>
            <w:r>
              <w:t>4.6 NAV restatement history (extracted-unverified): None identified: searched stripped text of both on-disk docs — 10-K (FY2025, filed 2026-03-26) and 10-Q (Q1 2026, filed 2026-05-13) — for 'restat' (16 hits 10-K / 4 hits 10-Q), 'error correction' (5 hits 10-K / 0 10-Q) and 'reprocess' (0 hits).</w:t>
            </w:r>
          </w:p>
          <w:p>
            <w:r>
              <w:t>Not applicable: 4.7 not exchange-listed.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PSP selected, 9/12.</w:t>
            </w:r>
          </w:p>
          <w:p>
            <w:r>
              <w:t>5.1 Self-declared benchmark (extracted-unverified): DOCUMENTED ABSENCE: the Company self-declares NO performance benchmark anywhere in the FY2025 10-K.</w:t>
            </w:r>
          </w:p>
          <w:p>
            <w:r>
              <w:t>5.3 Alt asset-class indices (computed): Benchmark candidates evaluated by the engine (Tark benchmark rubric, 12 points, threshold 7 of 12, strategy gate below 2 of 3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proxy Listed private equity investable proxy (PSP), primary slot): window 2023-09-01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LLC ('34 Act). 6.4 Schedule K-1.</w:t>
            </w:r>
          </w:p>
          <w:p>
            <w:r>
              <w:t>6.1 Structure map (extracted-unverified): KKR Private Equity Conglomerate LLC ('K-PEC'), Delaware limited liability company formed December 6, 2022; governed by Sixth Amended and Restated LLC Agreement dated December 4, 2024; operates so it is NOT an 'investment company' under the Investment Company Act (no exemptive order — the word 'exemptive' has zero hits) and so it qualifies as a partnership for U.S. federal income tax purposes.</w:t>
            </w:r>
          </w:p>
          <w:p>
            <w:r>
              <w:t>6.2 Strategy &amp; instrument complexity (extracted-unverified): Strategy: private equity conglomerate — acquire, own and control portfolio companies via Joint Ventures with KKR Vehicles (Company typically GP/co-GP; majority of JVs majority-own or primarily control portfolio companies); six business lines: Business &amp; Financial Services; Consumer &amp; Retail; Healthcare; Impact; Industrials; Technology, Media &amp; Telecommunications.</w:t>
            </w:r>
          </w:p>
          <w:p>
            <w:r>
              <w:t>6.3 Conflicts &amp; affiliated transactions (extracted-unverified): Item 13 'Potential Conflicts of Interest' is extensive (KKR Group multi-role conflicts, allocation, Service Providers, fee offsets).</w:t>
            </w:r>
          </w:p>
          <w:p>
            <w:r>
              <w:t>6.4 Tax reporting (1099 vs K-1) (extracted-unverified): ISSUES SCHEDULE K-1s (partnership taxation): K-1 information provided ~75 days after calendar year-end, and may be delayed.</w:t>
            </w:r>
          </w:p>
          <w:p>
            <w:r>
              <w:t>6.5 Service-provider web (extracted-unverified): Custodian: The Bank of New York Mellon (Custody Agreement dated August 1, 2023 with the Company, K-PEC Holdings LLC and K-PEC HedgeCo LLC).</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Listed private equity investable proxy (PSP) (score 9/12)</w:t>
      </w:r>
    </w:p>
    <w:p>
      <w:r>
        <w:t>Window 2023-09-01 to 2025-12-31: fund 12.94%/yr (disclosed annualized figure (cell 1.2)) vs public proxy 18.36%/yr, KS-PME 0.8964, Direct Alpha -4.58%/yr. Disclosure: PME and alpha computed on appraisal-lagged NAVs are window-sensitive and can be smoothing-flattered. Conclusions should be read with the methodology's window-sensitivity analysis. Low confidence: 2.33-year window, shorter than 3 years.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private equity for private equity conglomerate)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Red Rocks): the registry affiliation map ties it to none of the fund's advisers</w:t>
      </w:r>
    </w:p>
    <w:p>
      <w:pPr>
        <w:pStyle w:val="Heading2"/>
      </w:pPr>
      <w:r>
        <w:t>Secondary: Cambridge Associates US PE benchmark (score 7/12)</w:t>
      </w:r>
    </w:p>
    <w:p>
      <w:pPr>
        <w:pStyle w:val="ListBullet"/>
      </w:pPr>
      <w:r>
        <w:t>strategy_match 3/3: a private-market index of private equity for a private equity conglomerate fund</w:t>
      </w:r>
    </w:p>
    <w:p>
      <w:pPr>
        <w:pStyle w:val="ListBullet"/>
      </w:pPr>
      <w:r>
        <w:t>risk_liquidity_match 2/3: NAV-class series, quarterly observations vs the fund's annual return data and an index, not a fund set, so leverage regime is not comparable</w:t>
      </w:r>
    </w:p>
    <w:p>
      <w:pPr>
        <w:pStyle w:val="ListBullet"/>
      </w:pPr>
      <w:r>
        <w:t>investability 0/2: licensed data not held (no subscription), candidate can be cited, not computed</w:t>
      </w:r>
    </w:p>
    <w:p>
      <w:pPr>
        <w:pStyle w:val="ListBullet"/>
      </w:pPr>
      <w:r>
        <w:t>data_quality 0/2: cited, not computed</w:t>
      </w:r>
    </w:p>
    <w:p>
      <w:pPr>
        <w:pStyle w:val="ListBullet"/>
      </w:pPr>
      <w:r>
        <w:t>provider_independence 2/2: provider unaffiliated with the fund (Cambridge Associates):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MSCI World investable proxy (URTH)</w:t>
            </w:r>
          </w:p>
        </w:tc>
        <w:tc>
          <w:tcPr>
            <w:tcW w:type="dxa" w:w="1152"/>
          </w:tcPr>
          <w:p>
            <w:r>
              <w:t>8/12</w:t>
            </w:r>
          </w:p>
        </w:tc>
        <w:tc>
          <w:tcPr>
            <w:tcW w:type="dxa" w:w="4752"/>
          </w:tcPr>
          <w:p>
            <w:r>
              <w:t>rejected: strategy gate (score 8/12 but strategy_match 1/3)</w:t>
            </w:r>
          </w:p>
        </w:tc>
      </w:tr>
      <w:tr>
        <w:tc>
          <w:tcPr>
            <w:tcW w:type="dxa" w:w="3456"/>
          </w:tcPr>
          <w:p>
            <w:r>
              <w:t>Peer composite, evergreen private equity cohort without KKR Private Equity Conglomerate LLC (members: AMG Pantheon Fund, LLC, Ares Private Markets Fund, Hamilton Lane Private Assets Fund, StepStone Private Markets)</w:t>
            </w:r>
          </w:p>
        </w:tc>
        <w:tc>
          <w:tcPr>
            <w:tcW w:type="dxa" w:w="1152"/>
          </w:tcPr>
          <w:p>
            <w:r>
              <w:t>7/12</w:t>
            </w:r>
          </w:p>
        </w:tc>
        <w:tc>
          <w:tcPr>
            <w:tcW w:type="dxa" w:w="4752"/>
          </w:tcPr>
          <w:p>
            <w:r>
              <w:t>outranked: score 7/12 vs primary 9/12 and secondary 7/12 (only two slots). Retained in log as viable alternate</w:t>
            </w:r>
          </w:p>
        </w:tc>
      </w:tr>
    </w:tbl>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aggregate NAV.</w:t>
      </w:r>
    </w:p>
    <w:p>
      <w:pPr>
        <w:pStyle w:val="ListBullet"/>
      </w:pPr>
      <w:r>
        <w:t>Early repurchase economics: 5% if held &lt; 24 months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LLC ('34 Act)</w:t>
            </w:r>
          </w:p>
        </w:tc>
        <w:tc>
          <w:tcPr>
            <w:tcW w:type="dxa" w:w="1152"/>
          </w:tcPr>
          <w:p>
            <w:r>
              <w:t>6.1</w:t>
            </w:r>
          </w:p>
        </w:tc>
      </w:tr>
      <w:tr>
        <w:tc>
          <w:tcPr>
            <w:tcW w:type="dxa" w:w="2448"/>
          </w:tcPr>
          <w:p>
            <w:r>
              <w:t>Dealing terms</w:t>
            </w:r>
          </w:p>
        </w:tc>
        <w:tc>
          <w:tcPr>
            <w:tcW w:type="dxa" w:w="5760"/>
          </w:tcPr>
          <w:p>
            <w:r>
              <w:t>quarterly offers, 5% cap per quarter on aggregate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5% if held &lt; 24 months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5% per quarter on aggregate NAV: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window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cell 3.7, plan: plan_consulting_alumni.json (Form 5500, plan year 2024-01-01 to 2024-12-31).</w:t>
      </w:r>
    </w:p>
    <w:p>
      <w:pPr>
        <w:pStyle w:val="Heading1"/>
      </w:pPr>
      <w:r>
        <w:t>Peer cohort placement</w:t>
      </w:r>
    </w:p>
    <w:p>
      <w:r>
        <w:t>Evidence depth tier: FULL. Cohort: Evergreen private equity ('40-Act funds + '34-Act conglomerate) (n=5). Membership rationale: '34-Act conglomerate of controlled PE businesses. Joins under the authorized fallback (its Reg D twins have no public filings). Cross-wrapper caveats carried by the cohort caveat block.</w:t>
      </w:r>
    </w:p>
    <w:p>
      <w:r>
        <w:t>Cohort placement (evergreen private equity cohort): mgmt fee: 30th percentile of cohort (n=5), below the median of 1.4 | expense ratio (bases differ, see notes): 50th percentile of cohort (n=5), at the median of 3.19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Global management-consulting firm profit-sharing/401(k) plan (~$9.8B, NY) (ILLUSTRATIVE): CONDITIONAL-WEAK.</w:t>
      </w:r>
    </w:p>
    <w:p>
      <w:r>
        <w:t>Benchmark: Listed private equity investable proxy (PSP) selected as primary at 9/12, secondary Cambridge Associates US PE benchmark at 7/12.</w:t>
      </w:r>
    </w:p>
    <w:p>
      <w:r>
        <w:t>Flags raised by the record (each restates a typed value or verdict already in the artifacts, with its source):</w:t>
      </w:r>
    </w:p>
    <w:p>
      <w:pPr>
        <w:pStyle w:val="ListBullet"/>
      </w:pPr>
      <w:r>
        <w:t>Benchmark: low confidence: 2.33-year window, shorter than 3 years (benchmark comparison)</w:t>
      </w:r>
    </w:p>
    <w:p>
      <w:pPr>
        <w:pStyle w:val="ListBullet"/>
      </w:pPr>
      <w:r>
        <w:t>Liquidity: ILLUSTRATIVE scenario verdict conditional-weak under this plan (base or stressed demand above wrapper capacity)</w:t>
      </w:r>
    </w:p>
    <w:p>
      <w:pPr>
        <w:pStyle w:val="ListBullet"/>
      </w:pPr>
      <w:r>
        <w:t>Tax reporting: Schedule K-1 (cell 6.4)</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9, partial 4, fetched 1, n/a 14, pending 0. 40 of 40 resolvable, 0 verified, 14 n/a by wrapper.</w:t>
      </w:r>
    </w:p>
    <w:p>
      <w:r>
        <w:t>Of the 39 evidenced cells, 39 carry a source document, 39 a section, 30 a verbatim quote (computed cells carry their computation and inputs instead of a quote) and 39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1.2</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1.3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1.8</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1.11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2.1</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2.2</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2.3</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2.5</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2.7</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3.2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3.7</w:t>
            </w:r>
          </w:p>
        </w:tc>
        <w:tc>
          <w:tcPr>
            <w:tcW w:type="dxa" w:w="3456"/>
          </w:tcPr>
          <w:p>
            <w:r>
              <w:t>the plan record on file</w:t>
            </w:r>
          </w:p>
        </w:tc>
        <w:tc>
          <w:tcPr>
            <w:tcW w:type="dxa" w:w="5184"/>
          </w:tcPr>
          <w:p>
            <w:r>
              <w:t>accession not on record: no filing reference in the source field</w:t>
            </w:r>
          </w:p>
        </w:tc>
      </w:tr>
      <w:tr>
        <w:tc>
          <w:tcPr>
            <w:tcW w:type="dxa" w:w="720"/>
          </w:tcPr>
          <w:p>
            <w:r>
              <w:t>3.8</w:t>
            </w:r>
          </w:p>
        </w:tc>
        <w:tc>
          <w:tcPr>
            <w:tcW w:type="dxa" w:w="3456"/>
          </w:tcPr>
          <w:p>
            <w:r>
              <w:t>liquidity match artifacts (KKR Private Equity Conglomerate LLC,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(KKR Private Equity Conglomerate LLC,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4.5</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4.6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5.1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5.3</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5.6</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6.4</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6.5</w:t>
            </w:r>
          </w:p>
        </w:tc>
        <w:tc>
          <w:tcPr>
            <w:tcW w:type="dxa" w:w="3456"/>
          </w:tcPr>
          <w:p>
            <w:r>
              <w:t>Form 10-K (FY2025), filed 2026-03-26</w:t>
            </w:r>
          </w:p>
        </w:tc>
        <w:tc>
          <w:tcPr>
            <w:tcW w:type="dxa" w:w="5184"/>
          </w:tcPr>
          <w:p>
            <w:r>
              <w:t>10-K 2026-03-26 accession 0001957845-26-000029 https://www.sec.gov/Archives/edgar/data/1957845/000195784526000029/kkr-20251231.htm</w:t>
            </w:r>
          </w:p>
        </w:tc>
      </w:tr>
    </w:tbl>
    <w:p>
      <w:r>
        <w:t>Data sources: SEC EDGAR filings (2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