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Blue Owl Credit Income Corp. (perpetual-life non-traded BDC (quarterly 13e-4 tenders), CIK 1812554)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Benchmark: Peer composite, private credit cohort without Blue Owl Credit Income Corp. (members: Blackstone Private Credit Fund, CION Ares Diversified Credit Fund, Cliffwater Corporate Lending Fund, PIMCO Flexible Credit Income Fund) at 9/12, relative wealth ratio 0.9973 vs the peer composite, annualized excess return -0.05%/yr (not a public market equivalent) over FY2021 to FY2025.</w:t>
      </w:r>
    </w:p>
    <w:p>
      <w:r>
        <w:t>Flags raised by the record (each restates a typed value or verdict,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composite, private credit cohort without Blue Owl Credit Income Corp. (members: Blackstone Private Credit Fund, CION Ares Diversified Credit Fund, Cliffwater Corporate Lending Fund, PIMCO Flexible Credit Income Fund)</w:t>
            </w:r>
          </w:p>
        </w:tc>
        <w:tc>
          <w:tcPr>
            <w:tcW w:type="dxa" w:w="864"/>
          </w:tcPr>
          <w:p>
            <w:r>
              <w:t>9/12</w:t>
            </w:r>
          </w:p>
        </w:tc>
        <w:tc>
          <w:tcPr>
            <w:tcW w:type="dxa" w:w="3888"/>
          </w:tcPr>
          <w:p>
            <w:r>
              <w:t>relative wealth ratio 0.9973 vs the peer composite, annualized excess return -0.05%/yr (not a public market equivalent),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1.1541, Direct Alpha 2.91%/yr, 2021-01-01 to 2025-12-31</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outranked: score 7/12 vs primary 9/12 and secondary 9/12 (only two slots). Retained in log as viable alternate</w:t>
            </w:r>
          </w:p>
        </w:tc>
      </w:tr>
    </w:tbl>
    <w:p>
      <w:pPr>
        <w:pStyle w:val="Heading1"/>
      </w:pPr>
      <w:r>
        <w:t>Exhibit B. Liquidity match for this plan</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26, verified 0, computed 8, partial 9, fetched 1,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