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Global management-consulting firm profit-sharing/401(k) plan (~$9.8B, NY)</w:t>
        <w:br/>
      </w:r>
      <w:r>
        <w:t>Product: PIMCO Flexible Credit Income Fund (TRUE interval fund (Rule 23c-3), flexible credit, CIK 1688554)</w:t>
        <w:br/>
      </w:r>
      <w:r>
        <w:t>Record as of 2026-09-04. DRAFT, generated by the build from the record. The decision memo for the same plan and product is a separate document.</w:t>
      </w:r>
    </w:p>
    <w:p>
      <w:pPr>
        <w:pStyle w:val="Heading1"/>
      </w:pPr>
      <w:r>
        <w:t>Summary</w:t>
      </w:r>
    </w:p>
    <w:p>
      <w:r>
        <w:t>Structural liquidity verdict: CONDITIONAL (typed facts, plan-independent). Scenario verdict under this plan (ILLUSTRATIVE, default sliders): CONDITIONAL-WEAK.</w:t>
      </w:r>
    </w:p>
    <w:p>
      <w:r>
        <w:t>Benchmark: Senior loan investable proxy (BKLN, for Morningstar LSTA class) at 9/12, KS-PME 1.1089, Direct Alpha 1.3%/yr over 2018-07-18 to 2026-07-17.</w:t>
      </w:r>
    </w:p>
    <w:p>
      <w:r>
        <w:t>Flags raised by the record (each restates a typed value or verdict, with its source):</w:t>
      </w:r>
    </w:p>
    <w:p>
      <w:pPr>
        <w:pStyle w:val="ListBullet"/>
      </w:pPr>
      <w:r>
        <w:t>Liquidity: ILLUSTRATIVE scenario verdict conditional-weak under this plan (base or stressed demand above wrapper capacity)</w:t>
      </w:r>
    </w:p>
    <w:p>
      <w:r>
        <w:t>Evidence coverage: 42 of 42 resolvable, 0 verified, 12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Max attainable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Senior loan investable proxy (BKLN, for Morningstar LSTA class)</w:t>
            </w:r>
          </w:p>
        </w:tc>
        <w:tc>
          <w:tcPr>
            <w:tcW w:type="dxa" w:w="864"/>
          </w:tcPr>
          <w:p>
            <w:r>
              <w:t>9/12</w:t>
            </w:r>
          </w:p>
        </w:tc>
        <w:tc>
          <w:tcPr>
            <w:tcW w:type="dxa" w:w="3888"/>
          </w:tcPr>
          <w:p>
            <w:r>
              <w:t>KS-PME 1.1089, Direct Alpha 1.3%/yr, 2018-07-18 to 2026-07-17</w:t>
            </w:r>
          </w:p>
        </w:tc>
      </w:tr>
      <w:tr>
        <w:tc>
          <w:tcPr>
            <w:tcW w:type="dxa" w:w="1152"/>
          </w:tcPr>
          <w:p>
            <w:r>
              <w:t>secondary</w:t>
            </w:r>
          </w:p>
        </w:tc>
        <w:tc>
          <w:tcPr>
            <w:tcW w:type="dxa" w:w="3456"/>
          </w:tcPr>
          <w:p>
            <w:r>
              <w:t>Peer composite, private credit cohort without PIMCO Flexible Credit Income Fund (members: Blackstone Private Credit Fund, CION Ares Diversified Credit Fund, Cliffwater Corporate Lending Fund, Blue Owl Credit Income Corp.)</w:t>
            </w:r>
          </w:p>
        </w:tc>
        <w:tc>
          <w:tcPr>
            <w:tcW w:type="dxa" w:w="864"/>
          </w:tcPr>
          <w:p>
            <w:r>
              <w:t>8/12</w:t>
            </w:r>
          </w:p>
        </w:tc>
        <w:tc>
          <w:tcPr>
            <w:tcW w:type="dxa" w:w="3888"/>
          </w:tcPr>
          <w:p>
            <w:r>
              <w:t>relative wealth ratio 0.9799 vs the peer composite, annualized excess return -0.41%/yr (not a public market equivalent), FY2021 to FY2025</w:t>
            </w:r>
          </w:p>
        </w:tc>
      </w:tr>
      <w:tr>
        <w:tc>
          <w:tcPr>
            <w:tcW w:type="dxa" w:w="1152"/>
          </w:tcPr>
          <w:p>
            <w:r>
              <w:t>rejected</w:t>
            </w:r>
          </w:p>
        </w:tc>
        <w:tc>
          <w:tcPr>
            <w:tcW w:type="dxa" w:w="3456"/>
          </w:tcPr>
          <w:p>
            <w:r>
              <w:t>Cliffwater Direct Lending Index (CDLI)</w:t>
            </w:r>
          </w:p>
        </w:tc>
        <w:tc>
          <w:tcPr>
            <w:tcW w:type="dxa" w:w="864"/>
          </w:tcPr>
          <w:p>
            <w:r>
              <w:t>6/12</w:t>
            </w:r>
          </w:p>
        </w:tc>
        <w:tc>
          <w:tcPr>
            <w:tcW w:type="dxa" w:w="3888"/>
          </w:tcPr>
          <w:p>
            <w:r>
              <w:t>score 6/12 below primary threshold 7</w:t>
            </w:r>
          </w:p>
        </w:tc>
      </w:tr>
    </w:tbl>
    <w:p>
      <w:pPr>
        <w:pStyle w:val="Heading1"/>
      </w:pPr>
      <w:r>
        <w:t>Exhibit B. Liquidity match for this plan</w:t>
      </w:r>
    </w:p>
    <w:p>
      <w:pPr>
        <w:pStyle w:val="Heading1"/>
      </w:pPr>
      <w:r>
        <w:t>Product-to-plan liquidity match</w:t>
      </w:r>
    </w:p>
    <w:p>
      <w:r>
        <w:t>Plan: Global management-consulting firm profit-sharing/401(k) plan (~$9.8B, NY).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(narrowed): this plan is PARTIALLY participant-directed per its own Form 5500 codes (2H, no 2G/404(c) code filed). A trustee-directed sleeve could hold this wrapper directly (cell 3.5), and the daily-menu constraint applies only to the participant-directed portion, where the menu assumes daily liquidity whereas this wrapper deals quarterly with a 5% cap per quarter on outstanding shares.</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 fund (Rule 23c-3)</w:t>
            </w:r>
          </w:p>
        </w:tc>
        <w:tc>
          <w:tcPr>
            <w:tcW w:type="dxa" w:w="1152"/>
          </w:tcPr>
          <w:p>
            <w:r>
              <w:t>6.1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2025-06-30</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$9.8B, liquidity tail 58.2% of accounts (20,253 separated participants with balances).</w:t>
      </w:r>
    </w:p>
    <w:p>
      <w:r>
        <w:t>Parameters (adjustable on the site, not facts): allocation 5% of plan = $490.5M, tail turnover 20%/yr, active turnover 5%/yr. Base demand $67.3M/yr = 13.7% of the position vs annual wrapper capacity 20%.</w:t>
      </w:r>
    </w:p>
    <w:p>
      <w:r>
        <w:t>Stressed (tail turnover x2, active turnover x1.5 vs base scenario): demand $129.5M/yr = 26.4% of the position. EXCEEDS annual wrapper capacity. Unmet demand rolls into later windows (gating-equivalent outcome).</w:t>
      </w:r>
    </w:p>
    <w:p>
      <w:r>
        <w:t>Scenario verdict (ILLUSTRATIVE, this plan): CONDITIONAL-WEAK.</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Scenario demand (illustrative): 13.7% of the position per year vs 20% annual wrapper capacity. THIN HEADROOM: demand consumes over 60% of wrapper capacity, so proration in any oversubscribed window would push the shortfall into the next window.</w:t>
      </w:r>
    </w:p>
    <w:p>
      <w:pPr>
        <w:pStyle w:val="ListBullet"/>
      </w:pPr>
      <w:r>
        <w:t>Scenario verdict (ILLUSTRATIVE, this plan): conditional-weak.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plan_consulting_alumni.json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1.30% on the lesser of two bases</w:t>
            </w:r>
          </w:p>
        </w:tc>
        <w:tc>
          <w:tcPr>
            <w:tcW w:type="dxa" w:w="2880"/>
          </w:tcPr>
          <w:p>
            <w:r>
              <w:t>extracted-unverified</w:t>
            </w:r>
          </w:p>
        </w:tc>
      </w:tr>
      <w:tr>
        <w:tc>
          <w:tcPr>
            <w:tcW w:type="dxa" w:w="2880"/>
          </w:tcPr>
          <w:p>
            <w:r>
              <w:t>2.2 Incentive fee terms</w:t>
            </w:r>
          </w:p>
        </w:tc>
        <w:tc>
          <w:tcPr>
            <w:tcW w:type="dxa" w:w="3600"/>
          </w:tcPr>
          <w:p>
            <w:r>
              <w:t>incentive fee: none</w:t>
            </w:r>
          </w:p>
        </w:tc>
        <w:tc>
          <w:tcPr>
            <w:tcW w:type="dxa" w:w="2880"/>
          </w:tcPr>
          <w:p>
            <w:r>
              <w:t>extracted-unverified</w:t>
            </w:r>
          </w:p>
        </w:tc>
      </w:tr>
      <w:tr>
        <w:tc>
          <w:tcPr>
            <w:tcW w:type="dxa" w:w="2880"/>
          </w:tcPr>
          <w:p>
            <w:r>
              <w:t>2.3 Total expense ratio &amp; waivers</w:t>
            </w:r>
          </w:p>
        </w:tc>
        <w:tc>
          <w:tcPr>
            <w:tcW w:type="dxa" w:w="3600"/>
          </w:tcPr>
          <w:p>
            <w:r>
              <w:t>1.97% expense ratio, excluding interest expense (5.12% including reverse-repo interest), gross equals net, no waivers (FY2025, Institutional)</w:t>
            </w:r>
          </w:p>
        </w:tc>
        <w:tc>
          <w:tcPr>
            <w:tcW w:type="dxa" w:w="2880"/>
          </w:tcPr>
          <w:p>
            <w:r>
              <w:t>extracted-unverified</w:t>
            </w:r>
          </w:p>
        </w:tc>
      </w:tr>
      <w:tr>
        <w:tc>
          <w:tcPr>
            <w:tcW w:type="dxa" w:w="2880"/>
          </w:tcPr>
          <w:p>
            <w:r>
              <w:t>2.4 AFFE</w:t>
            </w:r>
          </w:p>
        </w:tc>
        <w:tc>
          <w:tcPr>
            <w:tcW w:type="dxa" w:w="3600"/>
          </w:tcPr>
          <w:p>
            <w:r>
              <w:t>no AFFE line</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none</w:t>
            </w:r>
          </w:p>
        </w:tc>
        <w:tc>
          <w:tcPr>
            <w:tcW w:type="dxa" w:w="2880"/>
          </w:tcPr>
          <w:p>
            <w:r>
              <w:t>extracted-unverified</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Private credit (interval fund + non-traded BDC) (n=5). Flexible multi-sector credit in the SAME wrapper as cclfx (interval, quarterly 5%). A wrapper twin with a broader credit mandate (loans, structured, EM). Mandate breadth is the disclosed mismatch.</w:t>
      </w:r>
    </w:p>
    <w:p>
      <w:r>
        <w:t>Cohort placement (private credit cohort): mgmt fee: 90th percentile of cohort (n=5), above the median of 1.25 | expense ratio (bases differ, see notes): 30th percentile of cohort (n=5), below the median of 3.76 | repurchase cap: 50th percentile of cohort (n=5), at the median of 5. Statistics and per-member values are in the cohort artifact, membership rationales in the typed facts.</w:t>
      </w:r>
    </w:p>
    <w:p>
      <w:pPr>
        <w:pStyle w:val="ListBullet"/>
      </w:pPr>
      <w:r>
        <w:t>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Global management-consulting firm profit-sharing/401(k) plan (~$9.8B, NY).</w:t>
      </w:r>
    </w:p>
    <w:p>
      <w:pPr>
        <w:pStyle w:val="Heading1"/>
      </w:pPr>
      <w:r>
        <w:t>Provenance</w:t>
      </w:r>
    </w:p>
    <w:p>
      <w:r>
        <w:t>Cell status for this product: structured 0, extracted-unverified 27, verified 0, computed 12, partial 2, fetched 1, n/a 12,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