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Neostellar Capital Corp. (fka SuRo Capital Corp., SSSS) (LISTED BDC (exchange-traded; pre-IPO growth holdings), CIK 1509470)</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Evidence coverage: 43 of 43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Peer composite, pre-IPO and venture cohort without Neostellar Capital Corp. (members: ARK Venture Fund, Destiny Tech100 Inc)</w:t>
            </w:r>
          </w:p>
        </w:tc>
        <w:tc>
          <w:tcPr>
            <w:tcW w:type="dxa" w:w="864"/>
          </w:tcPr>
          <w:p>
            <w:r>
              <w:t>3/12</w:t>
            </w:r>
          </w:p>
        </w:tc>
        <w:tc>
          <w:tcPr>
            <w:tcW w:type="dxa" w:w="3888"/>
          </w:tcPr>
          <w:p>
            <w:r>
              <w:t>fund price is premium/discount-driven and decoupled from NAV. Benchmarking the price benchmarks the premium, not the portfolio</w:t>
            </w:r>
          </w:p>
        </w:tc>
      </w:tr>
    </w:tbl>
    <w:p>
      <w:pPr>
        <w:pStyle w:val="Heading1"/>
      </w:pPr>
      <w:r>
        <w:t>Exhibit B. Liquidity match for this plan</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BDC</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not applicable (exchange-traded).</w:t>
      </w:r>
    </w:p>
    <w:p>
      <w:r>
        <w:t>Stressed (tail turnover x2, active turnover x1.5 vs base scenario): demand $129.5M/yr = 26.4%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1.75% on gross assets incl. borrowings</w:t>
            </w:r>
          </w:p>
        </w:tc>
        <w:tc>
          <w:tcPr>
            <w:tcW w:type="dxa" w:w="2880"/>
          </w:tcPr>
          <w:p>
            <w:r>
              <w:t>extracted-unverified</w:t>
            </w:r>
          </w:p>
        </w:tc>
      </w:tr>
      <w:tr>
        <w:tc>
          <w:tcPr>
            <w:tcW w:type="dxa" w:w="2880"/>
          </w:tcPr>
          <w:p>
            <w:r>
              <w:t>2.2 Incentive fee terms</w:t>
            </w:r>
          </w:p>
        </w:tc>
        <w:tc>
          <w:tcPr>
            <w:tcW w:type="dxa" w:w="3600"/>
          </w:tcPr>
          <w:p>
            <w:r>
              <w:t>incentive fee: 7% hurdle</w:t>
            </w:r>
          </w:p>
        </w:tc>
        <w:tc>
          <w:tcPr>
            <w:tcW w:type="dxa" w:w="2880"/>
          </w:tcPr>
          <w:p>
            <w:r>
              <w:t>extracted-unverified</w:t>
            </w:r>
          </w:p>
        </w:tc>
      </w:tr>
      <w:tr>
        <w:tc>
          <w:tcPr>
            <w:tcW w:type="dxa" w:w="2880"/>
          </w:tcPr>
          <w:p>
            <w:r>
              <w:t>2.3 Total expense ratio &amp; waivers</w:t>
            </w:r>
          </w:p>
        </w:tc>
        <w:tc>
          <w:tcPr>
            <w:tcW w:type="dxa" w:w="3600"/>
          </w:tcPr>
          <w:p>
            <w:r>
              <w:t>9.46% expense ratio, net operating expenses under internal management, the fee regime changed 2026-07-15 (FY2025)</w:t>
            </w:r>
          </w:p>
        </w:tc>
        <w:tc>
          <w:tcPr>
            <w:tcW w:type="dxa" w:w="2880"/>
          </w:tcPr>
          <w:p>
            <w:r>
              <w:t>extracted-unverified</w:t>
            </w:r>
          </w:p>
        </w:tc>
      </w:tr>
      <w:tr>
        <w:tc>
          <w:tcPr>
            <w:tcW w:type="dxa" w:w="2880"/>
          </w:tcPr>
          <w:p>
            <w:r>
              <w:t>2.4 AFFE</w:t>
            </w:r>
          </w:p>
        </w:tc>
        <w:tc>
          <w:tcPr>
            <w:tcW w:type="dxa" w:w="3600"/>
          </w:tcPr>
          <w:p>
            <w:r>
              <w:t>AFFE 0.06%</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n/a</w:t>
            </w:r>
          </w:p>
        </w:tc>
        <w:tc>
          <w:tcPr>
            <w:tcW w:type="dxa" w:w="2880"/>
          </w:tcPr>
          <w:p>
            <w:r>
              <w:t>n/a - exchange-traded: no investor-level repurchase/redemption exists, so no early-repurchase fee is possible; exit is on-exchange sale at market price</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Pre-IPO / venture growth (listed CEF + listed BDC + interval fund) (n=3).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27, verified 0, computed 11, partial 4,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