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StepStone Private Markets (tender-offer fund ('40 Act), CIK 1789470)</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CONDITIONAL-WEAK.</w:t>
      </w:r>
    </w:p>
    <w:p>
      <w:r>
        <w:t>Benchmark: Peer composite, evergreen private equity cohort without StepStone Private Markets (members: AMG Pantheon Fund, LLC, Ares Private Markets Fund, Hamilton Lane Private Assets Fund, KKR Private Equity Conglomerate LLC) at 9/12, relative wealth ratio 1.0206 vs the peer composite, annualized excess return 0.41%/yr (not a public market equivalent) over FY2022 to FY2026.</w:t>
      </w:r>
    </w:p>
    <w:p>
      <w:r>
        <w:t>Flags raised by the record (each restates a typed value or verdict, with its source):</w:t>
      </w:r>
    </w:p>
    <w:p>
      <w:pPr>
        <w:pStyle w:val="ListBullet"/>
      </w:pPr>
      <w:r>
        <w:t>Liquidity: structural verdict partial, facts missing: gate_history (cells 3.1, 3.3)</w:t>
      </w:r>
    </w:p>
    <w:p>
      <w:pPr>
        <w:pStyle w:val="ListBullet"/>
      </w:pPr>
      <w:r>
        <w:t>Liquidity: ILLUSTRATIVE scenario verdict conditional-weak under this plan (base or stressed demand above wrapper capacity)</w:t>
      </w:r>
    </w:p>
    <w:p>
      <w:r>
        <w:t>Evidence coverage: 41 of 41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evergreen private equity cohort without StepStone Private Markets (members: AMG Pantheon Fund, LLC, Ares Private Markets Fund, Hamilton Lane Private Assets Fund, KKR Private Equity Conglomerate LLC)</w:t>
            </w:r>
          </w:p>
        </w:tc>
        <w:tc>
          <w:tcPr>
            <w:tcW w:type="dxa" w:w="864"/>
          </w:tcPr>
          <w:p>
            <w:r>
              <w:t>9/12</w:t>
            </w:r>
          </w:p>
        </w:tc>
        <w:tc>
          <w:tcPr>
            <w:tcW w:type="dxa" w:w="3888"/>
          </w:tcPr>
          <w:p>
            <w:r>
              <w:t>relative wealth ratio 1.0206 vs the peer composite, annualized excess return 0.41%/yr (not a public market equivalent), FY2022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1.762, Direct Alpha 12.0%/yr, 2021-03-31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outstanding shares.</w:t>
      </w:r>
    </w:p>
    <w:p>
      <w:pPr>
        <w:pStyle w:val="ListBullet"/>
      </w:pPr>
      <w:r>
        <w:t>Facts missing for a structural verdict: gate_history (per-offer tendered-vs-purchased counts not printed in on-disk filings. Sept 2025 offer was Board-UPSIZED (demand signal). Proration incidence unevidenced). The verdict stays partial until they are typed from the filings.</w:t>
      </w:r>
    </w:p>
    <w:p>
      <w:pPr>
        <w:pStyle w:val="ListBullet"/>
      </w:pPr>
      <w:r>
        <w:t>Early repurchase economics: not typed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3.1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per-offer tendered-vs-purchased counts not printed in on-disk filings. Sept 2025 offer was Board-UPSIZED (demand signal). Proration incidence unevidenced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net assets</w:t>
            </w:r>
          </w:p>
        </w:tc>
        <w:tc>
          <w:tcPr>
            <w:tcW w:type="dxa" w:w="2880"/>
          </w:tcPr>
          <w:p>
            <w:r>
              <w:t>extracted-unverified</w:t>
            </w:r>
          </w:p>
        </w:tc>
      </w:tr>
      <w:tr>
        <w:tc>
          <w:tcPr>
            <w:tcW w:type="dxa" w:w="2880"/>
          </w:tcPr>
          <w:p>
            <w:r>
              <w:t>2.2 Incentive fee terms</w:t>
            </w:r>
          </w:p>
        </w:tc>
        <w:tc>
          <w:tcPr>
            <w:tcW w:type="dxa" w:w="3600"/>
          </w:tcPr>
          <w:p>
            <w:r>
              <w:t>no typed fact for this cell</w:t>
            </w:r>
          </w:p>
        </w:tc>
        <w:tc>
          <w:tcPr>
            <w:tcW w:type="dxa" w:w="2880"/>
          </w:tcPr>
          <w:p>
            <w:r>
              <w:t>partial</w:t>
            </w:r>
          </w:p>
        </w:tc>
      </w:tr>
      <w:tr>
        <w:tc>
          <w:tcPr>
            <w:tcW w:type="dxa" w:w="2880"/>
          </w:tcPr>
          <w:p>
            <w:r>
              <w:t>2.3 Total expense ratio &amp; waivers</w:t>
            </w:r>
          </w:p>
        </w:tc>
        <w:tc>
          <w:tcPr>
            <w:tcW w:type="dxa" w:w="3600"/>
          </w:tcPr>
          <w:p>
            <w:r>
              <w:t>1.91% expense ratio, AFFE excluded (FY2026, Class I)</w:t>
            </w:r>
          </w:p>
        </w:tc>
        <w:tc>
          <w:tcPr>
            <w:tcW w:type="dxa" w:w="2880"/>
          </w:tcPr>
          <w:p>
            <w:r>
              <w:t>extracted-unverified</w:t>
            </w:r>
          </w:p>
        </w:tc>
      </w:tr>
      <w:tr>
        <w:tc>
          <w:tcPr>
            <w:tcW w:type="dxa" w:w="2880"/>
          </w:tcPr>
          <w:p>
            <w:r>
              <w:t>2.4 AFFE</w:t>
            </w:r>
          </w:p>
        </w:tc>
        <w:tc>
          <w:tcPr>
            <w:tcW w:type="dxa" w:w="3600"/>
          </w:tcPr>
          <w:p>
            <w:r>
              <w:t>AFFE 0.59%</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no typed fact for this cell</w:t>
            </w:r>
          </w:p>
        </w:tc>
        <w:tc>
          <w:tcPr>
            <w:tcW w:type="dxa" w:w="2880"/>
          </w:tcPr>
          <w:p>
            <w:r>
              <w:t>partial</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multi-strategy (secondaries-led) tender-offer fund - founding cohort member.</w:t>
      </w:r>
    </w:p>
    <w:p>
      <w:r>
        <w:t>Cohort placement (evergreen private equity cohort): mgmt fee: 50th percentile of cohort (n=5), at the median of 1.4 | expense ratio (bases differ, see notes): 10th percentile of cohort (n=5), below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27, verified 0, computed 10,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