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1.76 vs PSP, peer relative wealth ratio 1.02.</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Primary Peer composite, evergreen private equity cohort without StepStone Private Markets (members: AMG Pantheon Fund, LLC, Ares Private Markets Fund, Hamilton Lane Private Assets Fund, KKR Private Equity Conglomerate LLC): relative wealth ratio 1.0206 over FY2022 to FY2026 (5 overlapping fiscal year(s) of 5 composite years), fund growth 1.9504x / peer composite growth 1.911x on two-point flows, annualized excess return +0.41%/yr, fund return source: filed fiscal-year returns.</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expense ratio, AFFE excluded (FY2026, Class I). 2.4 AFFE 0.59%.</w:t>
            </w:r>
          </w:p>
          <w:p>
            <w:r>
              <w:t>2.1 Management fee (rate AND base) (extracted-unverified): 1.40% annualized on daily NET ASSETS (contrast: PAF charges same 1.40% on MANAGED ASSETS incl. leverage —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3.6 $5.8B net assets. 3.9 structural verdict partial, plan-independent.</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 i.e., ~99% of investments are Level 3 or NAV-based.</w:t>
            </w:r>
          </w:p>
          <w:p>
            <w:r>
              <w:t>3.6 Fund leverage &amp; facilities (extracted-unverified): Cash $247.3M + $300.0M undrawn credit facility as of 3/31/2026.</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Stated primary benchmark: MSCI World Index.</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 Open-Ended Funds, 'Seasoned Investments' (funds already ~25% invested at closing) and stapled secondaries; (2) Co-Investments - direct equity in operating companies alongside lead Investment Managers (Fund holds minority/non-controlling positions); (3) Primary Investments -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StepStone Private Markets (members: AMG Pantheon Fund, LLC, Ares Private Markets Fund, Hamilton Lane Private Assets Fund, KKR Private Equity Conglomerate LLC) (score 9/12)</w:t>
      </w:r>
    </w:p>
    <w:p>
      <w:r>
        <w:t>Window FY2022 to FY2026 (5 overlapping fiscal year(s) of 5 composite years): fund 14.3%/yr (filed fiscal-year returns) vs peer composite 13.83%/yr, relative wealth ratio 1.0206, annualized excess return 0.41%/yr.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(amg_pantheon, ares_pmf, hl_paf),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2021-03-31 to 2026-03-31: fund 12.92%/yr (disclosed annualized figure (cell 1.2)) vs public proxy 0.83%/yr, KS-PME 1.762, Direct Alpha 12.0%/yr.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plan_consulting_alumni.json (Form 5500, plan year 2024-01-01 to 2024-12-31).</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CONDITIONAL-WEAK.</w:t>
      </w:r>
    </w:p>
    <w:p>
      <w:r>
        <w:t>Benchmark: Peer composite, evergreen private equity cohort without StepStone Private Markets (members: AMG Pantheon Fund, LLC, Ares Private Markets Fund, Hamilton Lane Private Assets Fund, KKR Private Equity Conglomerate LLC) selected as primary at 9/12,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10, partial 3, fetched 1, n/a 13, pending 0. 41 of 41 resolvable, 0 verified, 13 n/a by wrapper.</w:t>
      </w:r>
    </w:p>
    <w:p>
      <w:r>
        <w:t>Of the 40 evidenced cells, 40 carry a source document, 39 a section, 29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5.6</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