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Ares Private Markets Fund (tender-offer fund ('40 Act), CIK 1876006)</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Ares Private Markets Fund (members: AMG Pantheon Fund, LLC, Hamilton Lane Private Assets Fund, KKR Private Equity Conglomerate LLC, StepStone Private Markets) at 9/12, relative wealth ratio 1.0822 vs the peer composite, annualized excess return 1.99%/yr (not a public market equivalent) over FY2023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Ares Private Markets Fund (members: AMG Pantheon Fund, LLC, Hamilton Lane Private Assets Fund, KKR Private Equity Conglomerate LLC, StepStone Private Markets)</w:t>
            </w:r>
          </w:p>
        </w:tc>
        <w:tc>
          <w:tcPr>
            <w:tcW w:type="dxa" w:w="864"/>
          </w:tcPr>
          <w:p>
            <w:r>
              <w:t>9/12</w:t>
            </w:r>
          </w:p>
        </w:tc>
        <w:tc>
          <w:tcPr>
            <w:tcW w:type="dxa" w:w="3888"/>
          </w:tcPr>
          <w:p>
            <w:r>
              <w:t>relative wealth ratio 1.0822 vs the peer composite, annualized excess return 1.99%/yr (not a public market equivalent), FY2023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1.5712, Direct Alpha 11.97%/yr, 2022-04-01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5.02% expense ratio, gross, before a 0.03% waiver, including the 1.60% incentive-fee drag, AFFE excluded (FY2026, Class I)</w:t>
            </w:r>
          </w:p>
        </w:tc>
        <w:tc>
          <w:tcPr>
            <w:tcW w:type="dxa" w:w="2880"/>
          </w:tcPr>
          <w:p>
            <w:r>
              <w:t>extracted-unverified</w:t>
            </w:r>
          </w:p>
        </w:tc>
      </w:tr>
      <w:tr>
        <w:tc>
          <w:tcPr>
            <w:tcW w:type="dxa" w:w="2880"/>
          </w:tcPr>
          <w:p>
            <w:r>
              <w:t>2.4 AFFE</w:t>
            </w:r>
          </w:p>
        </w:tc>
        <w:tc>
          <w:tcPr>
            <w:tcW w:type="dxa" w:w="3600"/>
          </w:tcPr>
          <w:p>
            <w:r>
              <w:t>AFFE 1.00%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28, verified 0, computed 9, partial 2,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