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Blackstone Private Credit Fund (non-traded BDC ('34 Act reporting; continuous offering), CIK 1803498)</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Peer composite, private credit cohort without Blackstone Private Credit Fund (members: CION Ares Diversified Credit Fund, Cliffwater Corporate Lending Fund, Blue Owl Credit Income Corp., PIMCO Flexible Credit Income Fund) at 9/12, relative wealth ratio 1.0798 vs the peer composite, annualized excess return 1.55%/yr (not a public market equivalent) over FY2021 to FY2025.</w:t>
      </w:r>
    </w:p>
    <w:p>
      <w:r>
        <w:t>Flags raised by the record (each restates a typed value or verdict, with its source):</w:t>
      </w:r>
    </w:p>
    <w:p>
      <w:pPr>
        <w:pStyle w:val="ListBullet"/>
      </w:pPr>
      <w:r>
        <w:t>none</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composite, private credit cohort without Blackstone Private Credit Fund (members: CION Ares Diversified Credit Fund, Cliffwater Corporate Lending Fund, Blue Owl Credit Income Corp., PIMCO Flexible Credit Income Fund)</w:t>
            </w:r>
          </w:p>
        </w:tc>
        <w:tc>
          <w:tcPr>
            <w:tcW w:type="dxa" w:w="864"/>
          </w:tcPr>
          <w:p>
            <w:r>
              <w:t>9/12</w:t>
            </w:r>
          </w:p>
        </w:tc>
        <w:tc>
          <w:tcPr>
            <w:tcW w:type="dxa" w:w="3888"/>
          </w:tcPr>
          <w:p>
            <w:r>
              <w:t>relative wealth ratio 1.0798 vs the peer composite, annualized excess return 1.55%/yr (not a public market equivalent),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1.2378, Direct Alpha 4.38%/yr, 2021-01-07 to 2025-12-31</w:t>
            </w:r>
          </w:p>
        </w:tc>
      </w:tr>
      <w:tr>
        <w:tc>
          <w:tcPr>
            <w:tcW w:type="dxa" w:w="1152"/>
          </w:tcPr>
          <w:p>
            <w:r>
              <w:t>rejected</w:t>
            </w:r>
          </w:p>
        </w:tc>
        <w:tc>
          <w:tcPr>
            <w:tcW w:type="dxa" w:w="3456"/>
          </w:tcPr>
          <w:p>
            <w:r>
              <w:t>Cliffwater Direct Lending Index (CDLI)</w:t>
            </w:r>
          </w:p>
        </w:tc>
        <w:tc>
          <w:tcPr>
            <w:tcW w:type="dxa" w:w="864"/>
          </w:tcPr>
          <w:p>
            <w:r>
              <w:t>7/12</w:t>
            </w:r>
          </w:p>
        </w:tc>
        <w:tc>
          <w:tcPr>
            <w:tcW w:type="dxa" w:w="3888"/>
          </w:tcPr>
          <w:p>
            <w:r>
              <w:t>outranked: score 7/12 vs primary 9/12 and secondary 9/12 (only two slots). Retained in log as viable alternate</w:t>
            </w:r>
          </w:p>
        </w:tc>
      </w:tr>
    </w:tbl>
    <w:p>
      <w:pPr>
        <w:pStyle w:val="Heading1"/>
      </w:pPr>
      <w:r>
        <w:t>Exhibit B. Liquidity match for this plan</w:t>
      </w:r>
    </w:p>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NAV.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net assets</w:t>
            </w:r>
          </w:p>
        </w:tc>
        <w:tc>
          <w:tcPr>
            <w:tcW w:type="dxa" w:w="2880"/>
          </w:tcPr>
          <w:p>
            <w:r>
              <w:t>extracted-unverified</w:t>
            </w:r>
          </w:p>
        </w:tc>
      </w:tr>
      <w:tr>
        <w:tc>
          <w:tcPr>
            <w:tcW w:type="dxa" w:w="2880"/>
          </w:tcPr>
          <w:p>
            <w:r>
              <w:t>2.2 Incentive fee terms</w:t>
            </w:r>
          </w:p>
        </w:tc>
        <w:tc>
          <w:tcPr>
            <w:tcW w:type="dxa" w:w="3600"/>
          </w:tcPr>
          <w:p>
            <w:r>
              <w:t>incentive fee: 12.5% / 5% hurdle</w:t>
            </w:r>
          </w:p>
        </w:tc>
        <w:tc>
          <w:tcPr>
            <w:tcW w:type="dxa" w:w="2880"/>
          </w:tcPr>
          <w:p>
            <w:r>
              <w:t>extracted-unverified</w:t>
            </w:r>
          </w:p>
        </w:tc>
      </w:tr>
      <w:tr>
        <w:tc>
          <w:tcPr>
            <w:tcW w:type="dxa" w:w="2880"/>
          </w:tcPr>
          <w:p>
            <w:r>
              <w:t>2.3 Total expense ratio &amp; waivers</w:t>
            </w:r>
          </w:p>
        </w:tc>
        <w:tc>
          <w:tcPr>
            <w:tcW w:type="dxa" w:w="3600"/>
          </w:tcPr>
          <w:p>
            <w:r>
              <w:t>7.00% expense ratio, including the interest and financing cost of BDC leverage (FY2025, Class I)</w:t>
            </w:r>
          </w:p>
        </w:tc>
        <w:tc>
          <w:tcPr>
            <w:tcW w:type="dxa" w:w="2880"/>
          </w:tcPr>
          <w:p>
            <w:r>
              <w:t>extracted-unverified</w:t>
            </w:r>
          </w:p>
        </w:tc>
      </w:tr>
      <w:tr>
        <w:tc>
          <w:tcPr>
            <w:tcW w:type="dxa" w:w="2880"/>
          </w:tcPr>
          <w:p>
            <w:r>
              <w:t>2.4 AFFE</w:t>
            </w:r>
          </w:p>
        </w:tc>
        <w:tc>
          <w:tcPr>
            <w:tcW w:type="dxa" w:w="3600"/>
          </w:tcPr>
          <w:p>
            <w:r>
              <w:t>AFFE 0.02%</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 credit cohort): mgmt fee: 50th percentile of cohort (n=5), at the median of 1.25 | expense ratio (bases differ, see notes): 70th percentile of cohort (n=5), above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26, verified 0, computed 9, partial 4,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