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Committee packet</w:t>
      </w:r>
    </w:p>
    <w:p>
      <w:r>
        <w:rPr>
          <w:b/>
        </w:rPr>
        <w:t>Plan: US industrial manufacturer 401(k) plan (~$0.8B, OH)</w:t>
        <w:br/>
      </w:r>
      <w:r>
        <w:t>Product: CION Ares Diversified Credit Fund (interval fund (Rule 23c-3, quarterly repurchases), CIK 1678124)</w:t>
        <w:br/>
      </w:r>
      <w:r>
        <w:t>Record as of 2026-09-04. DRAFT, generated by the build from the record. The decision memo for the same plan and product is a separate document.</w:t>
      </w:r>
    </w:p>
    <w:p>
      <w:pPr>
        <w:pStyle w:val="Heading1"/>
      </w:pPr>
      <w:r>
        <w:t>Summary</w:t>
      </w:r>
    </w:p>
    <w:p>
      <w:r>
        <w:t>Structural liquidity verdict: CONDITIONAL (typed facts, plan-independent). Scenario verdict under this plan (ILLUSTRATIVE, default sliders): CONDITIONAL.</w:t>
      </w:r>
    </w:p>
    <w:p>
      <w:r>
        <w:t>Benchmark: Senior loan investable proxy (BKLN, for Morningstar LSTA class) at 9/12, KS-PME 1.1374, Direct Alpha 1.62%/yr over 2018-07-18 to 2026-07-17.</w:t>
      </w:r>
    </w:p>
    <w:p>
      <w:r>
        <w:t>Flags raised by the record (each restates a typed value or verdict, with its source):</w:t>
      </w:r>
    </w:p>
    <w:p>
      <w:pPr>
        <w:pStyle w:val="ListBullet"/>
      </w:pPr>
      <w:r>
        <w:t>none</w:t>
      </w:r>
    </w:p>
    <w:p>
      <w:r>
        <w:t>Evidence coverage: 44 of 44 resolvable, 0 verified, 10 n/a by wrapper. Verified by a person: 0. Advisor-stated inputs for this plan: 0 of 6.</w:t>
      </w:r>
    </w:p>
    <w:p>
      <w:r>
        <w:t>The committee makes the decision on this record. This packet does not decide.</w:t>
      </w:r>
    </w:p>
    <w:p>
      <w:pPr>
        <w:pStyle w:val="Heading1"/>
      </w:pPr>
      <w:r>
        <w:t>Exhibit A. Benchmark selection and rejection ledger</w:t>
      </w:r>
    </w:p>
    <w:p>
      <w:r>
        <w:t>Tark benchmark rubric, 12 points, threshold 7 of 12, strategy gate. Max attainable on held data 9/12.</w:t>
      </w:r>
    </w:p>
    <w:tbl>
      <w:tblPr>
        <w:tblStyle w:val="TableGrid"/>
        <w:tblW w:type="auto" w:w="0"/>
        <w:tblLook w:firstColumn="1" w:firstRow="1" w:lastColumn="0" w:lastRow="0" w:noHBand="0" w:noVBand="1" w:val="04A0"/>
      </w:tblPr>
      <w:tblGrid>
        <w:gridCol w:w="2340"/>
        <w:gridCol w:w="2340"/>
        <w:gridCol w:w="2340"/>
        <w:gridCol w:w="2340"/>
      </w:tblGrid>
      <w:tr>
        <w:tc>
          <w:tcPr>
            <w:tcW w:type="dxa" w:w="1152"/>
          </w:tcPr>
          <w:p>
            <w:r>
              <w:t>Slot</w:t>
            </w:r>
          </w:p>
        </w:tc>
        <w:tc>
          <w:tcPr>
            <w:tcW w:type="dxa" w:w="3456"/>
          </w:tcPr>
          <w:p>
            <w:r>
              <w:t>Candidate</w:t>
            </w:r>
          </w:p>
        </w:tc>
        <w:tc>
          <w:tcPr>
            <w:tcW w:type="dxa" w:w="864"/>
          </w:tcPr>
          <w:p>
            <w:r>
              <w:t>Score</w:t>
            </w:r>
          </w:p>
        </w:tc>
        <w:tc>
          <w:tcPr>
            <w:tcW w:type="dxa" w:w="3888"/>
          </w:tcPr>
          <w:p>
            <w:r>
              <w:t>Outcome</w:t>
            </w:r>
          </w:p>
        </w:tc>
      </w:tr>
      <w:tr>
        <w:tc>
          <w:tcPr>
            <w:tcW w:type="dxa" w:w="1152"/>
          </w:tcPr>
          <w:p>
            <w:r>
              <w:t>primary</w:t>
            </w:r>
          </w:p>
        </w:tc>
        <w:tc>
          <w:tcPr>
            <w:tcW w:type="dxa" w:w="3456"/>
          </w:tcPr>
          <w:p>
            <w:r>
              <w:t>Senior loan investable proxy (BKLN, for Morningstar LSTA class)</w:t>
            </w:r>
          </w:p>
        </w:tc>
        <w:tc>
          <w:tcPr>
            <w:tcW w:type="dxa" w:w="864"/>
          </w:tcPr>
          <w:p>
            <w:r>
              <w:t>9/12</w:t>
            </w:r>
          </w:p>
        </w:tc>
        <w:tc>
          <w:tcPr>
            <w:tcW w:type="dxa" w:w="3888"/>
          </w:tcPr>
          <w:p>
            <w:r>
              <w:t>KS-PME 1.1374, Direct Alpha 1.62%/yr, 2018-07-18 to 2026-07-17</w:t>
            </w:r>
          </w:p>
        </w:tc>
      </w:tr>
      <w:tr>
        <w:tc>
          <w:tcPr>
            <w:tcW w:type="dxa" w:w="1152"/>
          </w:tcPr>
          <w:p>
            <w:r>
              <w:t>secondary</w:t>
            </w:r>
          </w:p>
        </w:tc>
        <w:tc>
          <w:tcPr>
            <w:tcW w:type="dxa" w:w="3456"/>
          </w:tcPr>
          <w:p>
            <w:r>
              <w:t>Peer composite, private credit cohort without CION Ares Diversified Credit Fund (members: Blackstone Private Credit Fund, Cliffwater Corporate Lending Fund, Blue Owl Credit Income Corp., PIMCO Flexible Credit Income Fund)</w:t>
            </w:r>
          </w:p>
        </w:tc>
        <w:tc>
          <w:tcPr>
            <w:tcW w:type="dxa" w:w="864"/>
          </w:tcPr>
          <w:p>
            <w:r>
              <w:t>8/12</w:t>
            </w:r>
          </w:p>
        </w:tc>
        <w:tc>
          <w:tcPr>
            <w:tcW w:type="dxa" w:w="3888"/>
          </w:tcPr>
          <w:p>
            <w:r>
              <w:t>relative wealth ratio 0.9461 vs the peer composite, annualized excess return -1.1%/yr (not a public market equivalent), FY2021 to FY2025</w:t>
            </w:r>
          </w:p>
        </w:tc>
      </w:tr>
      <w:tr>
        <w:tc>
          <w:tcPr>
            <w:tcW w:type="dxa" w:w="1152"/>
          </w:tcPr>
          <w:p>
            <w:r>
              <w:t>rejected</w:t>
            </w:r>
          </w:p>
        </w:tc>
        <w:tc>
          <w:tcPr>
            <w:tcW w:type="dxa" w:w="3456"/>
          </w:tcPr>
          <w:p>
            <w:r>
              <w:t>Cliffwater Direct Lending Index (CDLI)</w:t>
            </w:r>
          </w:p>
        </w:tc>
        <w:tc>
          <w:tcPr>
            <w:tcW w:type="dxa" w:w="864"/>
          </w:tcPr>
          <w:p>
            <w:r>
              <w:t>6/12</w:t>
            </w:r>
          </w:p>
        </w:tc>
        <w:tc>
          <w:tcPr>
            <w:tcW w:type="dxa" w:w="3888"/>
          </w:tcPr>
          <w:p>
            <w:r>
              <w:t>score 6/12 below primary threshold 7</w:t>
            </w:r>
          </w:p>
        </w:tc>
      </w:tr>
      <w:tr>
        <w:tc>
          <w:tcPr>
            <w:tcW w:type="dxa" w:w="1152"/>
          </w:tcPr>
          <w:p>
            <w:r>
              <w:t>rejected</w:t>
            </w:r>
          </w:p>
        </w:tc>
        <w:tc>
          <w:tcPr>
            <w:tcW w:type="dxa" w:w="3456"/>
          </w:tcPr>
          <w:p>
            <w:r>
              <w:t>Credit Suisse Leveraged Loan Index (CSLLI)</w:t>
            </w:r>
          </w:p>
        </w:tc>
        <w:tc>
          <w:tcPr>
            <w:tcW w:type="dxa" w:w="864"/>
          </w:tcPr>
          <w:p>
            <w:r>
              <w:t>5/12</w:t>
            </w:r>
          </w:p>
        </w:tc>
        <w:tc>
          <w:tcPr>
            <w:tcW w:type="dxa" w:w="3888"/>
          </w:tcPr>
          <w:p>
            <w:r>
              <w:t>score 5/12 below primary threshold 7</w:t>
            </w:r>
          </w:p>
        </w:tc>
      </w:tr>
    </w:tbl>
    <w:p>
      <w:pPr>
        <w:pStyle w:val="Heading1"/>
      </w:pPr>
      <w:r>
        <w:t>Exhibit B. Liquidity match for this plan</w:t>
      </w:r>
    </w:p>
    <w:p>
      <w:pPr>
        <w:pStyle w:val="Heading1"/>
      </w:pPr>
      <w:r>
        <w:t>Product-to-plan liquidity match</w:t>
      </w:r>
    </w:p>
    <w:p>
      <w:r>
        <w:t>Plan: US industrial manufacturer 401(k) plan (~$0.8B, OH). verdict is structural (typed facts, cells 3.1, 3.3, 2.7, plan-independent). scenario_verdict is ILLUSTRATIVE (demand model against the same capacity, per plan).</w:t>
      </w:r>
    </w:p>
    <w:p>
      <w:pPr>
        <w:pStyle w:val="Heading2"/>
      </w:pPr>
      <w:r>
        <w:t>Structural verdict (typed facts, plan-independent)</w:t>
      </w:r>
    </w:p>
    <w:p>
      <w:r>
        <w:t>CONDITIONAL</w:t>
      </w:r>
    </w:p>
    <w:p>
      <w:pPr>
        <w:pStyle w:val="ListBullet"/>
      </w:pPr>
      <w:r>
        <w:t>STRUCTURAL GAP: a participant-directed 404(c) menu assumes daily pricing and daily participant liquidity, whereas this wrapper deals quarterly with a 5% cap per quarter on outstanding shares. Direct DIA use requires a bridging structure: CIT sleeve, managed account, or TDF sleeve (cell 3.5).</w:t>
      </w:r>
    </w:p>
    <w:tbl>
      <w:tblPr>
        <w:tblStyle w:val="TableGrid"/>
        <w:tblW w:type="auto" w:w="0"/>
        <w:tblLook w:firstColumn="1" w:firstRow="1" w:lastColumn="0" w:lastRow="0" w:noHBand="0" w:noVBand="1" w:val="04A0"/>
      </w:tblPr>
      <w:tblGrid>
        <w:gridCol w:w="3120"/>
        <w:gridCol w:w="3120"/>
        <w:gridCol w:w="3120"/>
      </w:tblGrid>
      <w:tr>
        <w:tc>
          <w:tcPr>
            <w:tcW w:type="dxa" w:w="2448"/>
          </w:tcPr>
          <w:p>
            <w:r>
              <w:t>Wrapper fact</w:t>
            </w:r>
          </w:p>
        </w:tc>
        <w:tc>
          <w:tcPr>
            <w:tcW w:type="dxa" w:w="5760"/>
          </w:tcPr>
          <w:p>
            <w:r>
              <w:t>Value</w:t>
            </w:r>
          </w:p>
        </w:tc>
        <w:tc>
          <w:tcPr>
            <w:tcW w:type="dxa" w:w="1152"/>
          </w:tcPr>
          <w:p>
            <w:r>
              <w:t>Cell</w:t>
            </w:r>
          </w:p>
        </w:tc>
      </w:tr>
      <w:tr>
        <w:tc>
          <w:tcPr>
            <w:tcW w:type="dxa" w:w="2448"/>
          </w:tcPr>
          <w:p>
            <w:r>
              <w:t>Wrapper</w:t>
            </w:r>
          </w:p>
        </w:tc>
        <w:tc>
          <w:tcPr>
            <w:tcW w:type="dxa" w:w="5760"/>
          </w:tcPr>
          <w:p>
            <w:r>
              <w:t>interval fund (Rule 23c-3)</w:t>
            </w:r>
          </w:p>
        </w:tc>
        <w:tc>
          <w:tcPr>
            <w:tcW w:type="dxa" w:w="1152"/>
          </w:tcPr>
          <w:p>
            <w:r>
              <w:t>6.1</w:t>
            </w:r>
          </w:p>
        </w:tc>
      </w:tr>
      <w:tr>
        <w:tc>
          <w:tcPr>
            <w:tcW w:type="dxa" w:w="2448"/>
          </w:tcPr>
          <w:p>
            <w:r>
              <w:t>Dealing terms</w:t>
            </w:r>
          </w:p>
        </w:tc>
        <w:tc>
          <w:tcPr>
            <w:tcW w:type="dxa" w:w="5760"/>
          </w:tcPr>
          <w:p>
            <w:r>
              <w:t>quarterly offers, 5% cap per quarter on outstanding shares</w:t>
            </w:r>
          </w:p>
        </w:tc>
        <w:tc>
          <w:tcPr>
            <w:tcW w:type="dxa" w:w="1152"/>
          </w:tcPr>
          <w:p>
            <w:r>
              <w:t>3.1</w:t>
            </w:r>
          </w:p>
        </w:tc>
      </w:tr>
      <w:tr>
        <w:tc>
          <w:tcPr>
            <w:tcW w:type="dxa" w:w="2448"/>
          </w:tcPr>
          <w:p>
            <w:r>
              <w:t>Repurchase caps</w:t>
            </w:r>
          </w:p>
        </w:tc>
        <w:tc>
          <w:tcPr>
            <w:tcW w:type="dxa" w:w="5760"/>
          </w:tcPr>
          <w:p>
            <w:r>
              <w:t>5% per quarter, 20% per year</w:t>
            </w:r>
          </w:p>
        </w:tc>
        <w:tc>
          <w:tcPr>
            <w:tcW w:type="dxa" w:w="1152"/>
          </w:tcPr>
          <w:p>
            <w:r>
              <w:t>3.1</w:t>
            </w:r>
          </w:p>
        </w:tc>
      </w:tr>
      <w:tr>
        <w:tc>
          <w:tcPr>
            <w:tcW w:type="dxa" w:w="2448"/>
          </w:tcPr>
          <w:p>
            <w:r>
              <w:t>Annual capacity (binding cap)</w:t>
            </w:r>
          </w:p>
        </w:tc>
        <w:tc>
          <w:tcPr>
            <w:tcW w:type="dxa" w:w="5760"/>
          </w:tcPr>
          <w:p>
            <w:r>
              <w:t>20% of the position per year</w:t>
            </w:r>
          </w:p>
        </w:tc>
        <w:tc>
          <w:tcPr>
            <w:tcW w:type="dxa" w:w="1152"/>
          </w:tcPr>
          <w:p>
            <w:r>
              <w:t>3.1</w:t>
            </w:r>
          </w:p>
        </w:tc>
      </w:tr>
      <w:tr>
        <w:tc>
          <w:tcPr>
            <w:tcW w:type="dxa" w:w="2448"/>
          </w:tcPr>
          <w:p>
            <w:r>
              <w:t>Gating history</w:t>
            </w:r>
          </w:p>
        </w:tc>
        <w:tc>
          <w:tcPr>
            <w:tcW w:type="dxa" w:w="5760"/>
          </w:tcPr>
          <w:p>
            <w:r>
              <w:t>none identified in the filings on record</w:t>
            </w:r>
          </w:p>
        </w:tc>
        <w:tc>
          <w:tcPr>
            <w:tcW w:type="dxa" w:w="1152"/>
          </w:tcPr>
          <w:p>
            <w:r>
              <w:t>3.3</w:t>
            </w:r>
          </w:p>
        </w:tc>
      </w:tr>
      <w:tr>
        <w:tc>
          <w:tcPr>
            <w:tcW w:type="dxa" w:w="2448"/>
          </w:tcPr>
          <w:p>
            <w:r>
              <w:t>Repurchase program status</w:t>
            </w:r>
          </w:p>
        </w:tc>
        <w:tc>
          <w:tcPr>
            <w:tcW w:type="dxa" w:w="5760"/>
          </w:tcPr>
          <w:p>
            <w:r>
              <w:t>not typed: no suspension language in 3.1 or 3.3 as of 2025-12-31</w:t>
            </w:r>
          </w:p>
        </w:tc>
        <w:tc>
          <w:tcPr>
            <w:tcW w:type="dxa" w:w="1152"/>
          </w:tcPr>
          <w:p>
            <w:r>
              <w:t>3.1</w:t>
            </w:r>
          </w:p>
        </w:tc>
      </w:tr>
      <w:tr>
        <w:tc>
          <w:tcPr>
            <w:tcW w:type="dxa" w:w="2448"/>
          </w:tcPr>
          <w:p>
            <w:r>
              <w:t>Early repurchase fee</w:t>
            </w:r>
          </w:p>
        </w:tc>
        <w:tc>
          <w:tcPr>
            <w:tcW w:type="dxa" w:w="5760"/>
          </w:tcPr>
          <w:p>
            <w:r>
              <w:t>none at fund level (2.7)</w:t>
            </w:r>
          </w:p>
        </w:tc>
        <w:tc>
          <w:tcPr>
            <w:tcW w:type="dxa" w:w="1152"/>
          </w:tcPr>
          <w:p>
            <w:r>
              <w:t>2.7</w:t>
            </w:r>
          </w:p>
        </w:tc>
      </w:tr>
    </w:tbl>
    <w:p>
      <w:pPr>
        <w:pStyle w:val="Heading2"/>
      </w:pPr>
      <w:r>
        <w:t>Scenario (ILLUSTRATIVE, this plan)</w:t>
      </w:r>
    </w:p>
    <w:p>
      <w:r>
        <w:t>Plan inputs (Form 5500): net assets $791.7M, liquidity tail 14.9% of accounts (1,136 separated participants with balances).</w:t>
      </w:r>
    </w:p>
    <w:p>
      <w:r>
        <w:t>Parameters (adjustable on the site, not facts): allocation 5% of plan = $39.6M, tail turnover 20%/yr, active turnover 5%/yr. Base demand $2.9M/yr = 7.2% of the position vs annual wrapper capacity 20%.</w:t>
      </w:r>
    </w:p>
    <w:p>
      <w:r>
        <w:t>Stressed (tail turnover x2, active turnover x1.5 vs base scenario): demand $4.9M/yr = 12.3% of the position. within wrapper capacity (12.3% vs 20%) IF offers are not prorated.</w:t>
      </w:r>
    </w:p>
    <w:p>
      <w:r>
        <w:t>Scenario verdict (ILLUSTRATIVE, this plan): CONDITIONAL.</w:t>
      </w:r>
    </w:p>
    <w:p>
      <w:pPr>
        <w:pStyle w:val="ListBullet"/>
      </w:pPr>
      <w:r>
        <w:t>Capacity: 5% per quarter on outstanding shares: at most 20% of the position per year. This is a FUND-level cap shared by every holder, so the plan's position is served only while offers are not oversubscribed.</w:t>
      </w:r>
    </w:p>
    <w:p>
      <w:pPr>
        <w:pStyle w:val="ListBullet"/>
      </w:pPr>
      <w:r>
        <w:t>Scenario demand (illustrative): 7.2% of the position per year vs 20% annual wrapper capacity. Adequate headroom at this allocation if offers are not prorated.</w:t>
      </w:r>
    </w:p>
    <w:p>
      <w:pPr>
        <w:pStyle w:val="ListBullet"/>
      </w:pPr>
      <w:r>
        <w:t>Scenario verdict (ILLUSTRATIVE, this plan): conditional. It moves with the sliders and the plan. Proration assumption: an oversubscribed offer is filled pro rata and the unfilled remainder waits for the next window.</w:t>
      </w:r>
    </w:p>
    <w:p>
      <w:pPr>
        <w:pStyle w:val="ListBullet"/>
      </w:pPr>
      <w:r>
        <w:t>Schedule H benefit-payment lines are not yet in the plan record. Demand uses the illustrative turnover sliders only.</w:t>
      </w:r>
    </w:p>
    <w:p>
      <w:r>
        <w:t>Cited: cell 2.7, cell 3.1, cell 3.3, plan: plan_manufacturer_union.json (Form 5500, plan year 2024-01-01 to 2024-12-31).</w:t>
      </w:r>
    </w:p>
    <w:p>
      <w:pPr>
        <w:pStyle w:val="Heading1"/>
      </w:pPr>
      <w:r>
        <w:t>Exhibit C. Fees and terms, typed layer</w:t>
      </w:r>
    </w:p>
    <w:p>
      <w:r>
        <w:t>Each line is the typed fact that cites the cell, or the cell's status word when no fact is typed. Full text and provenance are in the record.</w:t>
      </w:r>
    </w:p>
    <w:tbl>
      <w:tblPr>
        <w:tblStyle w:val="TableGrid"/>
        <w:tblW w:type="auto" w:w="0"/>
        <w:tblLook w:firstColumn="1" w:firstRow="1" w:lastColumn="0" w:lastRow="0" w:noHBand="0" w:noVBand="1" w:val="04A0"/>
      </w:tblPr>
      <w:tblGrid>
        <w:gridCol w:w="3120"/>
        <w:gridCol w:w="3120"/>
        <w:gridCol w:w="3120"/>
      </w:tblGrid>
      <w:tr>
        <w:tc>
          <w:tcPr>
            <w:tcW w:type="dxa" w:w="2880"/>
          </w:tcPr>
          <w:p>
            <w:r>
              <w:t>Cell</w:t>
            </w:r>
          </w:p>
        </w:tc>
        <w:tc>
          <w:tcPr>
            <w:tcW w:type="dxa" w:w="3600"/>
          </w:tcPr>
          <w:p>
            <w:r>
              <w:t>Typed headline</w:t>
            </w:r>
          </w:p>
        </w:tc>
        <w:tc>
          <w:tcPr>
            <w:tcW w:type="dxa" w:w="2880"/>
          </w:tcPr>
          <w:p>
            <w:r>
              <w:t>Status</w:t>
            </w:r>
          </w:p>
        </w:tc>
      </w:tr>
      <w:tr>
        <w:tc>
          <w:tcPr>
            <w:tcW w:type="dxa" w:w="2880"/>
          </w:tcPr>
          <w:p>
            <w:r>
              <w:t>2.1 Management fee (rate AND base)</w:t>
            </w:r>
          </w:p>
        </w:tc>
        <w:tc>
          <w:tcPr>
            <w:tcW w:type="dxa" w:w="3600"/>
          </w:tcPr>
          <w:p>
            <w:r>
              <w:t>1.25% on managed assets (leverage-inclusive)</w:t>
            </w:r>
          </w:p>
        </w:tc>
        <w:tc>
          <w:tcPr>
            <w:tcW w:type="dxa" w:w="2880"/>
          </w:tcPr>
          <w:p>
            <w:r>
              <w:t>extracted-unverified</w:t>
            </w:r>
          </w:p>
        </w:tc>
      </w:tr>
      <w:tr>
        <w:tc>
          <w:tcPr>
            <w:tcW w:type="dxa" w:w="2880"/>
          </w:tcPr>
          <w:p>
            <w:r>
              <w:t>2.2 Incentive fee terms</w:t>
            </w:r>
          </w:p>
        </w:tc>
        <w:tc>
          <w:tcPr>
            <w:tcW w:type="dxa" w:w="3600"/>
          </w:tcPr>
          <w:p>
            <w:r>
              <w:t>incentive fee: 15% / 6% hurdle</w:t>
            </w:r>
          </w:p>
        </w:tc>
        <w:tc>
          <w:tcPr>
            <w:tcW w:type="dxa" w:w="2880"/>
          </w:tcPr>
          <w:p>
            <w:r>
              <w:t>extracted-unverified</w:t>
            </w:r>
          </w:p>
        </w:tc>
      </w:tr>
      <w:tr>
        <w:tc>
          <w:tcPr>
            <w:tcW w:type="dxa" w:w="2880"/>
          </w:tcPr>
          <w:p>
            <w:r>
              <w:t>2.3 Total expense ratio &amp; waivers</w:t>
            </w:r>
          </w:p>
        </w:tc>
        <w:tc>
          <w:tcPr>
            <w:tcW w:type="dxa" w:w="3600"/>
          </w:tcPr>
          <w:p>
            <w:r>
              <w:t>3.76% expense ratio, excluding interest expense (6.90% including interest per the fee table), no contractual cap (FY2025, Class I)</w:t>
            </w:r>
          </w:p>
        </w:tc>
        <w:tc>
          <w:tcPr>
            <w:tcW w:type="dxa" w:w="2880"/>
          </w:tcPr>
          <w:p>
            <w:r>
              <w:t>extracted-unverified</w:t>
            </w:r>
          </w:p>
        </w:tc>
      </w:tr>
      <w:tr>
        <w:tc>
          <w:tcPr>
            <w:tcW w:type="dxa" w:w="2880"/>
          </w:tcPr>
          <w:p>
            <w:r>
              <w:t>2.4 AFFE</w:t>
            </w:r>
          </w:p>
        </w:tc>
        <w:tc>
          <w:tcPr>
            <w:tcW w:type="dxa" w:w="3600"/>
          </w:tcPr>
          <w:p>
            <w:r>
              <w:t>n/a</w:t>
            </w:r>
          </w:p>
        </w:tc>
        <w:tc>
          <w:tcPr>
            <w:tcW w:type="dxa" w:w="2880"/>
          </w:tcPr>
          <w:p>
            <w:r>
              <w:t>n/a - documented-unavailable</w:t>
            </w:r>
          </w:p>
        </w:tc>
      </w:tr>
      <w:tr>
        <w:tc>
          <w:tcPr>
            <w:tcW w:type="dxa" w:w="2880"/>
          </w:tcPr>
          <w:p>
            <w:r>
              <w:t>2.6 Loads &amp; servicing fees</w:t>
            </w:r>
          </w:p>
        </w:tc>
        <w:tc>
          <w:tcPr>
            <w:tcW w:type="dxa" w:w="3600"/>
          </w:tcPr>
          <w:p>
            <w:r>
              <w:t>no typed fact for this cell</w:t>
            </w:r>
          </w:p>
        </w:tc>
        <w:tc>
          <w:tcPr>
            <w:tcW w:type="dxa" w:w="2880"/>
          </w:tcPr>
          <w:p>
            <w:r>
              <w:t>extracted-unverified</w:t>
            </w:r>
          </w:p>
        </w:tc>
      </w:tr>
      <w:tr>
        <w:tc>
          <w:tcPr>
            <w:tcW w:type="dxa" w:w="2880"/>
          </w:tcPr>
          <w:p>
            <w:r>
              <w:t>2.7 Early repurchase fee</w:t>
            </w:r>
          </w:p>
        </w:tc>
        <w:tc>
          <w:tcPr>
            <w:tcW w:type="dxa" w:w="3600"/>
          </w:tcPr>
          <w:p>
            <w:r>
              <w:t>early repurchase fee: none</w:t>
            </w:r>
          </w:p>
        </w:tc>
        <w:tc>
          <w:tcPr>
            <w:tcW w:type="dxa" w:w="2880"/>
          </w:tcPr>
          <w:p>
            <w:r>
              <w:t>extracted-unverified</w:t>
            </w:r>
          </w:p>
        </w:tc>
      </w:tr>
      <w:tr>
        <w:tc>
          <w:tcPr>
            <w:tcW w:type="dxa" w:w="2880"/>
          </w:tcPr>
          <w:p>
            <w:r>
              <w:t>6.4 Tax reporting (1099 vs K-1)</w:t>
            </w:r>
          </w:p>
        </w:tc>
        <w:tc>
          <w:tcPr>
            <w:tcW w:type="dxa" w:w="3600"/>
          </w:tcPr>
          <w:p>
            <w:r>
              <w:t>Form 1099</w:t>
            </w:r>
          </w:p>
        </w:tc>
        <w:tc>
          <w:tcPr>
            <w:tcW w:type="dxa" w:w="2880"/>
          </w:tcPr>
          <w:p>
            <w:r>
              <w:t>extracted-unverified</w:t>
            </w:r>
          </w:p>
        </w:tc>
      </w:tr>
    </w:tbl>
    <w:p>
      <w:pPr>
        <w:pStyle w:val="Heading1"/>
      </w:pPr>
      <w:r>
        <w:t>Exhibit D. Peer cohort placement</w:t>
      </w:r>
    </w:p>
    <w:p>
      <w:r>
        <w:t>Cohort Private credit (interval fund + non-traded BDC) (n=5). Diversified credit in the cclfx/pflex wrapper (interval, quarterly 5%). Joins via the census promotion pipeline. The dual-adviser CION+Ares structure and a leverage-inclusive Managed Assets fee base (1.89% of net assets at FY2025 leverage) widen the cohort's fee-base axis. Daily Class I NAV (CADUX).</w:t>
      </w:r>
    </w:p>
    <w:p>
      <w:r>
        <w:t>Cohort placement (private credit cohort): mgmt fee: 50th percentile of cohort (n=5), at the median of 1.25 | expense ratio (bases differ, see notes): 50th percentile of cohort (n=5), at the median of 3.76 | repurchase cap: 50th percentile of cohort (n=5), at the median of 5. Statistics and per-member values are in the cohort artifact, membership rationales in the typed facts.</w:t>
      </w:r>
    </w:p>
    <w:p>
      <w:pPr>
        <w:pStyle w:val="ListBullet"/>
      </w:pPr>
      <w:r>
        <w:t>LEVERAGE-REGIME MIX: BDC 150% coverage and non-1940-Act wrappers allow materially more leverage than 1940-Act funds. Fee bases and return volatility are not like-for-like. [typed per product: bcred: BDC 150% asset-coverage regime, cion_ares: 1940-Act asset-coverage limits, cliffwater_cclfx: 1940-Act asset-coverage limits, ocic: BDC 150% asset-coverage regime, pflex: 1940-Act asset-coverage limits]</w:t>
      </w:r>
    </w:p>
    <w:p>
      <w:pPr>
        <w:pStyle w:val="ListBullet"/>
      </w:pPr>
      <w:r>
        <w:t>LIQUIDITY-LAW MIX: Rule 23c-3 obligations, discretionary tenders, and repurchase plans give different worst-case exit rights. Cadence numbers alone overstate comparability. [by wrapper type: bcred: board-discretionary share repurchases, cion_ares: Rule 23c-3 OBLIGATION (board cannot skip a window), cliffwater_cclfx: Rule 23c-3 OBLIGATION (board cannot skip a window), ocic: board-discretionary share repurchases, pflex: Rule 23c-3 OBLIGATION (board cannot skip a window)]</w:t>
      </w:r>
    </w:p>
    <w:p>
      <w:pPr>
        <w:pStyle w:val="ListBullet"/>
      </w:pPr>
      <w:r>
        <w:t>NAV-CADENCE MIX: daily, monthly, and quarterly NAV processes embed different appraisal smoothing. Volatility and drawdown comparisons inherit that difference (see de-smoothing lab). [typed per product: bcred: monthly, cion_ares: daily, cliffwater_cclfx: daily, ocic: quarterly, pflex: daily]</w:t>
      </w:r>
    </w:p>
    <w:p>
      <w:pPr>
        <w:pStyle w:val="Heading1"/>
      </w:pPr>
      <w:r>
        <w:t>Advisor-stated inputs (this plan)</w:t>
      </w:r>
    </w:p>
    <w:p>
      <w:r>
        <w:t>An advisor-stated cell is the adopting fiduciary's own input for its plan, signed and dated. It is not evidence, it is never extracted or verified, and the product record's cell stays as it is.</w:t>
      </w:r>
    </w:p>
    <w:p>
      <w:r>
        <w:t>None stated for US industrial manufacturer 401(k) plan (~$0.8B, OH).</w:t>
      </w:r>
    </w:p>
    <w:p>
      <w:pPr>
        <w:pStyle w:val="Heading1"/>
      </w:pPr>
      <w:r>
        <w:t>Provenance</w:t>
      </w:r>
    </w:p>
    <w:p>
      <w:r>
        <w:t>Cell status for this product: structured 1, extracted-unverified 22, verified 0, computed 10, partial 11, fetched 0, n/a 10, pending 0.</w:t>
      </w:r>
    </w:p>
    <w:p>
      <w:r>
        <w:t>Regulatory basis: Fiduciary Duties in Selecting Designated Investment Alternatives, 91 FR 16088 (Mar. 31, 2026), RIN 1210-AC38, proposed 29 CFR 2550.404a-6, paragraphs (g) to (l), cited not paraphrased. Every figure above is a cited cell, a typed projection of one, or an engine artifact of the record as of 2026-09-04. Scenario figures are ILLUSTRATIVE. The plan is shown under its anonymized label.</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