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private credit cohort without Cliffwater Corporate Lending Fund (members: Blackstone Private Credit Fund, CION Ares Diversified Credit Fund, Blue Owl Credit Income Corp., PIMCO Flexible Credit Income Fund) at 9/12, relative wealth ratio 0.9756 vs the peer composite, annualized excess return -0.61%/yr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Cliffwater Corporate Lending Fund (members: Blackstone Private Credit Fund, CION Ares Diversified Credit Fund, Blue Owl Credit Income Corp., PIMCO Flexible Credit Income Fund)</w:t>
            </w:r>
          </w:p>
        </w:tc>
        <w:tc>
          <w:tcPr>
            <w:tcW w:type="dxa" w:w="864"/>
          </w:tcPr>
          <w:p>
            <w:r>
              <w:t>9/12</w:t>
            </w:r>
          </w:p>
        </w:tc>
        <w:tc>
          <w:tcPr>
            <w:tcW w:type="dxa" w:w="3888"/>
          </w:tcPr>
          <w:p>
            <w:r>
              <w:t>relative wealth ratio 0.9756 vs the peer composite, annualized excess return -0.61%/yr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1.2532, Direct Alpha 3.22%/yr, 2019-06-05 to 2026-07-17</w:t>
            </w:r>
          </w:p>
        </w:tc>
      </w:tr>
      <w:tr>
        <w:tc>
          <w:tcPr>
            <w:tcW w:type="dxa" w:w="1152"/>
          </w:tcPr>
          <w:p>
            <w:r>
              <w:t>rejected</w:t>
            </w:r>
          </w:p>
        </w:tc>
        <w:tc>
          <w:tcPr>
            <w:tcW w:type="dxa" w:w="3456"/>
          </w:tcPr>
          <w:p>
            <w:r>
              <w:t>Cliffwater Direct Lending Index (CDLI)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23, verified 0, computed 12,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