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industrial manufacturer 401(k) plan (~$0.8B, OH)</w:t>
        <w:br/>
      </w:r>
      <w:r>
        <w:t>Product: KKR Private Equity Conglomerate LLC (non-traded '34 Act reporting company, CIK 1957845)</w:t>
        <w:br/>
      </w:r>
      <w:r>
        <w:t>Record as of 2026-09-04. DRAFT, generated by the build from the record. The decision memo for the same plan and product is a separate document.</w:t>
      </w:r>
    </w:p>
    <w:p>
      <w:pPr>
        <w:pStyle w:val="Heading1"/>
      </w:pPr>
      <w:r>
        <w:t>Summary</w:t>
      </w:r>
    </w:p>
    <w:p>
      <w:r>
        <w:t>Structural liquidity verdict: CONDITIONAL (typed facts, plan-independent). Scenario verdict under this plan (ILLUSTRATIVE, default sliders): CONDITIONAL.</w:t>
      </w:r>
    </w:p>
    <w:p>
      <w:r>
        <w:t>Benchmark: Listed private equity investable proxy (PSP) at 9/12, KS-PME 0.8964, Direct Alpha -4.58%/yr over 2023-09-01 to 2025-12-31.</w:t>
      </w:r>
    </w:p>
    <w:p>
      <w:r>
        <w:t>Flags raised by the record (each restates a typed value or verdict, with its source):</w:t>
      </w:r>
    </w:p>
    <w:p>
      <w:pPr>
        <w:pStyle w:val="ListBullet"/>
      </w:pPr>
      <w:r>
        <w:t>Benchmark: low confidence: 2.33-year window, shorter than 3 years (benchmark comparison)</w:t>
      </w:r>
    </w:p>
    <w:p>
      <w:pPr>
        <w:pStyle w:val="ListBullet"/>
      </w:pPr>
      <w:r>
        <w:t>Tax reporting: Schedule K-1 (cell 6.4)</w:t>
      </w:r>
    </w:p>
    <w:p>
      <w:r>
        <w:t>Evidence coverage: 40 of 40 resolvable, 0 verified, 14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Listed private equity investable proxy (PSP)</w:t>
            </w:r>
          </w:p>
        </w:tc>
        <w:tc>
          <w:tcPr>
            <w:tcW w:type="dxa" w:w="864"/>
          </w:tcPr>
          <w:p>
            <w:r>
              <w:t>9/12</w:t>
            </w:r>
          </w:p>
        </w:tc>
        <w:tc>
          <w:tcPr>
            <w:tcW w:type="dxa" w:w="3888"/>
          </w:tcPr>
          <w:p>
            <w:r>
              <w:t>KS-PME 0.8964, Direct Alpha -4.58%/yr, 2023-09-01 to 2025-12-31</w:t>
            </w:r>
          </w:p>
        </w:tc>
      </w:tr>
      <w:tr>
        <w:tc>
          <w:tcPr>
            <w:tcW w:type="dxa" w:w="1152"/>
          </w:tcPr>
          <w:p>
            <w:r>
              <w:t>secondary</w:t>
            </w:r>
          </w:p>
        </w:tc>
        <w:tc>
          <w:tcPr>
            <w:tcW w:type="dxa" w:w="3456"/>
          </w:tcPr>
          <w:p>
            <w:r>
              <w:t>Cambridge Associates US PE benchmark</w:t>
            </w:r>
          </w:p>
        </w:tc>
        <w:tc>
          <w:tcPr>
            <w:tcW w:type="dxa" w:w="864"/>
          </w:tcPr>
          <w:p>
            <w:r>
              <w:t>7/12</w:t>
            </w:r>
          </w:p>
        </w:tc>
        <w:tc>
          <w:tcPr>
            <w:tcW w:type="dxa" w:w="3888"/>
          </w:tcPr>
          <w:p>
            <w:r>
              <w:t>selected</w:t>
            </w:r>
          </w:p>
        </w:tc>
      </w:tr>
      <w:tr>
        <w:tc>
          <w:tcPr>
            <w:tcW w:type="dxa" w:w="1152"/>
          </w:tcPr>
          <w:p>
            <w:r>
              <w:t>rejected</w:t>
            </w:r>
          </w:p>
        </w:tc>
        <w:tc>
          <w:tcPr>
            <w:tcW w:type="dxa" w:w="3456"/>
          </w:tcPr>
          <w:p>
            <w:r>
              <w:t>MSCI World investable proxy (URTH)</w:t>
            </w:r>
          </w:p>
        </w:tc>
        <w:tc>
          <w:tcPr>
            <w:tcW w:type="dxa" w:w="864"/>
          </w:tcPr>
          <w:p>
            <w:r>
              <w:t>8/12</w:t>
            </w:r>
          </w:p>
        </w:tc>
        <w:tc>
          <w:tcPr>
            <w:tcW w:type="dxa" w:w="3888"/>
          </w:tcPr>
          <w:p>
            <w:r>
              <w:t>rejected: strategy gate (score 8/12 but strategy_match 1/3)</w:t>
            </w:r>
          </w:p>
        </w:tc>
      </w:tr>
      <w:tr>
        <w:tc>
          <w:tcPr>
            <w:tcW w:type="dxa" w:w="1152"/>
          </w:tcPr>
          <w:p>
            <w:r>
              <w:t>rejected</w:t>
            </w:r>
          </w:p>
        </w:tc>
        <w:tc>
          <w:tcPr>
            <w:tcW w:type="dxa" w:w="3456"/>
          </w:tcPr>
          <w:p>
            <w:r>
              <w:t>Peer composite, evergreen private equity cohort without KKR Private Equity Conglomerate LLC (members: AMG Pantheon Fund, LLC, Ares Private Markets Fund, Hamilton Lane Private Assets Fund, StepStone Private Markets)</w:t>
            </w:r>
          </w:p>
        </w:tc>
        <w:tc>
          <w:tcPr>
            <w:tcW w:type="dxa" w:w="864"/>
          </w:tcPr>
          <w:p>
            <w:r>
              <w:t>7/12</w:t>
            </w:r>
          </w:p>
        </w:tc>
        <w:tc>
          <w:tcPr>
            <w:tcW w:type="dxa" w:w="3888"/>
          </w:tcPr>
          <w:p>
            <w:r>
              <w:t>outranked: score 7/12 vs primary 9/12 and secondary 7/12 (only two slots). Retained in log as viable alternate</w:t>
            </w:r>
          </w:p>
        </w:tc>
      </w:tr>
    </w:tbl>
    <w:p>
      <w:pPr>
        <w:pStyle w:val="Heading1"/>
      </w:pPr>
      <w:r>
        <w:t>Exhibit B. Liquidity match for this plan</w:t>
      </w:r>
    </w:p>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aggregate NAV. Direct DIA use requires a bridging structure: CIT sleeve, managed account, or TDF sleeve (cell 3.5).</w:t>
      </w:r>
    </w:p>
    <w:p>
      <w:pPr>
        <w:pStyle w:val="ListBullet"/>
      </w:pPr>
      <w:r>
        <w:t>Early repurchase economics: 5% if held &lt; 24 months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LLC ('34 Act)</w:t>
            </w:r>
          </w:p>
        </w:tc>
        <w:tc>
          <w:tcPr>
            <w:tcW w:type="dxa" w:w="1152"/>
          </w:tcPr>
          <w:p>
            <w:r>
              <w:t>6.1</w:t>
            </w:r>
          </w:p>
        </w:tc>
      </w:tr>
      <w:tr>
        <w:tc>
          <w:tcPr>
            <w:tcW w:type="dxa" w:w="2448"/>
          </w:tcPr>
          <w:p>
            <w:r>
              <w:t>Dealing terms</w:t>
            </w:r>
          </w:p>
        </w:tc>
        <w:tc>
          <w:tcPr>
            <w:tcW w:type="dxa" w:w="5760"/>
          </w:tcPr>
          <w:p>
            <w:r>
              <w:t>quarterly offers, 5% cap per quarter on aggregate NAV</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5% if held &lt; 24 months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aggregate NAV: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cell 3.7, plan: plan_manufacturer_union.json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15% / 5% hurdle</w:t>
            </w:r>
          </w:p>
        </w:tc>
        <w:tc>
          <w:tcPr>
            <w:tcW w:type="dxa" w:w="2880"/>
          </w:tcPr>
          <w:p>
            <w:r>
              <w:t>extracted-unverified</w:t>
            </w:r>
          </w:p>
        </w:tc>
      </w:tr>
      <w:tr>
        <w:tc>
          <w:tcPr>
            <w:tcW w:type="dxa" w:w="2880"/>
          </w:tcPr>
          <w:p>
            <w:r>
              <w:t>2.3 Total expense ratio &amp; waivers</w:t>
            </w:r>
          </w:p>
        </w:tc>
        <w:tc>
          <w:tcPr>
            <w:tcW w:type="dxa" w:w="3600"/>
          </w:tcPr>
          <w:p>
            <w:r>
              <w:t>no typed fact for this cell</w:t>
            </w:r>
          </w:p>
        </w:tc>
        <w:tc>
          <w:tcPr>
            <w:tcW w:type="dxa" w:w="2880"/>
          </w:tcPr>
          <w:p>
            <w:r>
              <w:t>partial</w:t>
            </w:r>
          </w:p>
        </w:tc>
      </w:tr>
      <w:tr>
        <w:tc>
          <w:tcPr>
            <w:tcW w:type="dxa" w:w="2880"/>
          </w:tcPr>
          <w:p>
            <w:r>
              <w:t>2.4 AFFE</w:t>
            </w:r>
          </w:p>
        </w:tc>
        <w:tc>
          <w:tcPr>
            <w:tcW w:type="dxa" w:w="3600"/>
          </w:tcPr>
          <w:p>
            <w:r>
              <w:t>no typed fact for this cell</w:t>
            </w:r>
          </w:p>
        </w:tc>
        <w:tc>
          <w:tcPr>
            <w:tcW w:type="dxa" w:w="2880"/>
          </w:tcPr>
          <w:p>
            <w:r>
              <w:t>partial</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24 months</w:t>
            </w:r>
          </w:p>
        </w:tc>
        <w:tc>
          <w:tcPr>
            <w:tcW w:type="dxa" w:w="2880"/>
          </w:tcPr>
          <w:p>
            <w:r>
              <w:t>extracted-unverified</w:t>
            </w:r>
          </w:p>
        </w:tc>
      </w:tr>
      <w:tr>
        <w:tc>
          <w:tcPr>
            <w:tcW w:type="dxa" w:w="2880"/>
          </w:tcPr>
          <w:p>
            <w:r>
              <w:t>6.4 Tax reporting (1099 vs K-1)</w:t>
            </w:r>
          </w:p>
        </w:tc>
        <w:tc>
          <w:tcPr>
            <w:tcW w:type="dxa" w:w="3600"/>
          </w:tcPr>
          <w:p>
            <w:r>
              <w:t>Schedule K-1</w:t>
            </w:r>
          </w:p>
        </w:tc>
        <w:tc>
          <w:tcPr>
            <w:tcW w:type="dxa" w:w="2880"/>
          </w:tcPr>
          <w:p>
            <w:r>
              <w:t>extracted-unverified</w:t>
            </w:r>
          </w:p>
        </w:tc>
      </w:tr>
    </w:tbl>
    <w:p>
      <w:pPr>
        <w:pStyle w:val="Heading1"/>
      </w:pPr>
      <w:r>
        <w:t>Exhibit D. Peer cohort placement</w:t>
      </w:r>
    </w:p>
    <w:p>
      <w:r>
        <w:t>Cohort Evergreen private equity ('40-Act funds + '34-Act conglomerate) (n=5). '34-Act conglomerate of controlled PE businesses. Joins under the authorized fallback (its Reg D twins have no public filings). Cross-wrapper caveats carried by the cohort caveat block.</w:t>
      </w:r>
    </w:p>
    <w:p>
      <w:r>
        <w:t>Cohort placement (evergreen private equity cohort): mgmt fee: 30th percentile of cohort (n=5), below the median of 1.4 | expense ratio (bases differ, see notes): 50th percentile of cohort (n=5), at the median of 3.19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kkr_kpec joins under the authorized fallback: its structural twins are Reg D vehicles with no public filings (data/roster_decisions.md - 'The kkr_kpec ruling'). Cross-wrapper caveats apply.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w:t>
      </w:r>
    </w:p>
    <w:p>
      <w:pPr>
        <w:pStyle w:val="Heading1"/>
      </w:pPr>
      <w:r>
        <w:t>Provenance</w:t>
      </w:r>
    </w:p>
    <w:p>
      <w:r>
        <w:t>Cell status for this product: structured 0, extracted-unverified 26, verified 0, computed 9, partial 4, fetched 1, n/a 14,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