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Blue Owl Credit Income Corp. (perpetual-life non-traded BDC (quarterly 13e-4 tenders), CIK 1812554)</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Benchmark: Peer composite, private credit cohort without Blue Owl Credit Income Corp. (members: Blackstone Private Credit Fund, CION Ares Diversified Credit Fund, Cliffwater Corporate Lending Fund, PIMCO Flexible Credit Income Fund) at 9/12, relative wealth ratio 0.9973 vs the peer composite, annualized excess return -0.05%/yr (not a public market equivalent) over FY2021 to FY2025.</w:t>
      </w:r>
    </w:p>
    <w:p>
      <w:r>
        <w:t>Flags raised by the record (each restates a typed value or verdict, with its source):</w:t>
      </w:r>
    </w:p>
    <w:p>
      <w:pPr>
        <w:pStyle w:val="ListBullet"/>
      </w:pPr>
      <w:r>
        <w:t>Liquidity: structural verdict partial, facts missing: gate_history (cells 3.1, 3.3)</w:t>
      </w:r>
    </w:p>
    <w:p>
      <w:r>
        <w:t>Evidence coverage: 44 of 44 resolvable, 0 verified, 10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private credit cohort without Blue Owl Credit Income Corp. (members: Blackstone Private Credit Fund, CION Ares Diversified Credit Fund, Cliffwater Corporate Lending Fund, PIMCO Flexible Credit Income Fund)</w:t>
            </w:r>
          </w:p>
        </w:tc>
        <w:tc>
          <w:tcPr>
            <w:tcW w:type="dxa" w:w="864"/>
          </w:tcPr>
          <w:p>
            <w:r>
              <w:t>9/12</w:t>
            </w:r>
          </w:p>
        </w:tc>
        <w:tc>
          <w:tcPr>
            <w:tcW w:type="dxa" w:w="3888"/>
          </w:tcPr>
          <w:p>
            <w:r>
              <w:t>relative wealth ratio 0.9973 vs the peer composite, annualized excess return -0.05%/yr (not a public market equivalent), FY2021 to FY2025</w:t>
            </w:r>
          </w:p>
        </w:tc>
      </w:tr>
      <w:tr>
        <w:tc>
          <w:tcPr>
            <w:tcW w:type="dxa" w:w="1152"/>
          </w:tcPr>
          <w:p>
            <w:r>
              <w:t>secondary</w:t>
            </w:r>
          </w:p>
        </w:tc>
        <w:tc>
          <w:tcPr>
            <w:tcW w:type="dxa" w:w="3456"/>
          </w:tcPr>
          <w:p>
            <w:r>
              <w:t>Senior loan investable proxy (BKLN, for Morningstar LSTA class)</w:t>
            </w:r>
          </w:p>
        </w:tc>
        <w:tc>
          <w:tcPr>
            <w:tcW w:type="dxa" w:w="864"/>
          </w:tcPr>
          <w:p>
            <w:r>
              <w:t>9/12</w:t>
            </w:r>
          </w:p>
        </w:tc>
        <w:tc>
          <w:tcPr>
            <w:tcW w:type="dxa" w:w="3888"/>
          </w:tcPr>
          <w:p>
            <w:r>
              <w:t>KS-PME 1.1541, Direct Alpha 2.91%/yr, 2021-01-01 to 2025-12-31</w:t>
            </w:r>
          </w:p>
        </w:tc>
      </w:tr>
      <w:tr>
        <w:tc>
          <w:tcPr>
            <w:tcW w:type="dxa" w:w="1152"/>
          </w:tcPr>
          <w:p>
            <w:r>
              <w:t>rejected</w:t>
            </w:r>
          </w:p>
        </w:tc>
        <w:tc>
          <w:tcPr>
            <w:tcW w:type="dxa" w:w="3456"/>
          </w:tcPr>
          <w:p>
            <w:r>
              <w:t>Cliffwater Direct Lending Index (CDLI)</w:t>
            </w:r>
          </w:p>
        </w:tc>
        <w:tc>
          <w:tcPr>
            <w:tcW w:type="dxa" w:w="864"/>
          </w:tcPr>
          <w:p>
            <w:r>
              <w:t>7/12</w:t>
            </w:r>
          </w:p>
        </w:tc>
        <w:tc>
          <w:tcPr>
            <w:tcW w:type="dxa" w:w="3888"/>
          </w:tcPr>
          <w:p>
            <w:r>
              <w:t>outranked: score 7/12 vs primary 9/12 and secondary 9/12 (only two slots). Retained in log as viable alternate</w:t>
            </w:r>
          </w:p>
        </w:tc>
      </w:tr>
    </w:tbl>
    <w:p>
      <w:pPr>
        <w:pStyle w:val="Heading1"/>
      </w:pPr>
      <w:r>
        <w:t>Exhibit B. Liquidity match for this plan</w:t>
      </w:r>
    </w:p>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Facts missing for a structural verdict: gate_history (12 consecutive quarterly tenders completed FY2023-FY2025 with no disclosed suspension, BUT tendered-vs-repurchased counts are never disclosed - proration cannot be ruled out from public filings, so a clean False would overclaim).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BDC</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12 consecutive quarterly tenders completed FY2023-FY2025 with no disclosed suspension, BUT tendered-vs-repurchased counts are never disclosed - proration cannot be ruled out from public filings, so a clean False would overclaim</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net assets</w:t>
            </w:r>
          </w:p>
        </w:tc>
        <w:tc>
          <w:tcPr>
            <w:tcW w:type="dxa" w:w="2880"/>
          </w:tcPr>
          <w:p>
            <w:r>
              <w:t>extracted-unverified</w:t>
            </w:r>
          </w:p>
        </w:tc>
      </w:tr>
      <w:tr>
        <w:tc>
          <w:tcPr>
            <w:tcW w:type="dxa" w:w="2880"/>
          </w:tcPr>
          <w:p>
            <w:r>
              <w:t>2.2 Incentive fee terms</w:t>
            </w:r>
          </w:p>
        </w:tc>
        <w:tc>
          <w:tcPr>
            <w:tcW w:type="dxa" w:w="3600"/>
          </w:tcPr>
          <w:p>
            <w:r>
              <w:t>incentive fee: 12.5% / 5% hurdle</w:t>
            </w:r>
          </w:p>
        </w:tc>
        <w:tc>
          <w:tcPr>
            <w:tcW w:type="dxa" w:w="2880"/>
          </w:tcPr>
          <w:p>
            <w:r>
              <w:t>extracted-unverified</w:t>
            </w:r>
          </w:p>
        </w:tc>
      </w:tr>
      <w:tr>
        <w:tc>
          <w:tcPr>
            <w:tcW w:type="dxa" w:w="2880"/>
          </w:tcPr>
          <w:p>
            <w:r>
              <w:t>2.3 Total expense ratio &amp; waivers</w:t>
            </w:r>
          </w:p>
        </w:tc>
        <w:tc>
          <w:tcPr>
            <w:tcW w:type="dxa" w:w="3600"/>
          </w:tcPr>
          <w:p>
            <w:r>
              <w:t>8.40% expense ratio, net, including the interest and financing cost of BDC leverage (FY2025, Class I)</w:t>
            </w:r>
          </w:p>
        </w:tc>
        <w:tc>
          <w:tcPr>
            <w:tcW w:type="dxa" w:w="2880"/>
          </w:tcPr>
          <w:p>
            <w:r>
              <w:t>extracted-unverified</w:t>
            </w:r>
          </w:p>
        </w:tc>
      </w:tr>
      <w:tr>
        <w:tc>
          <w:tcPr>
            <w:tcW w:type="dxa" w:w="2880"/>
          </w:tcPr>
          <w:p>
            <w:r>
              <w:t>2.4 AFFE</w:t>
            </w:r>
          </w:p>
        </w:tc>
        <w:tc>
          <w:tcPr>
            <w:tcW w:type="dxa" w:w="3600"/>
          </w:tcPr>
          <w:p>
            <w:r>
              <w:t>AFFE 0.00%</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Perpetual non-traded BDC running quarterly 13e-4 tenders, bcred's closest structural twin. Admitted via the census promotion pipeline (46 SC TO-I filings as T1 cadence evidence, Owl Rock -&gt; Blue Owl rename verified in the SEC record).</w:t>
      </w:r>
    </w:p>
    <w:p>
      <w:r>
        <w:t>Cohort placement (private credit cohort): mgmt fee: 50th percentile of cohort (n=5), at the median of 1.25 | expense ratio (bases differ, see notes): 90th percentile of cohort (n=5), above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0, extracted-unverified 26, verified 0, computed 8, partial 9, fetched 1, n/a 10,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