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StepStone Private Markets (tender-offer fund ('40 Act), CIK 1789470)</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Peer composite, evergreen private equity cohort without StepStone Private Markets (members: AMG Pantheon Fund, LLC, Ares Private Markets Fund, Hamilton Lane Private Assets Fund, KKR Private Equity Conglomerate LLC) at 9/12, relative wealth ratio 1.0206 vs the peer composite, annualized excess return 0.41%/yr (not a public market equivalent) over FY2022 to FY2026.</w:t>
      </w:r>
    </w:p>
    <w:p>
      <w:r>
        <w:t>Flags raised by the record (each restates a typed value or verdict, with its source):</w:t>
      </w:r>
    </w:p>
    <w:p>
      <w:pPr>
        <w:pStyle w:val="ListBullet"/>
      </w:pPr>
      <w:r>
        <w:t>Liquidity: structural verdict partial, facts missing: gate_history (cells 3.1, 3.3)</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composite, evergreen private equity cohort without StepStone Private Markets (members: AMG Pantheon Fund, LLC, Ares Private Markets Fund, Hamilton Lane Private Assets Fund, KKR Private Equity Conglomerate LLC)</w:t>
            </w:r>
          </w:p>
        </w:tc>
        <w:tc>
          <w:tcPr>
            <w:tcW w:type="dxa" w:w="864"/>
          </w:tcPr>
          <w:p>
            <w:r>
              <w:t>9/12</w:t>
            </w:r>
          </w:p>
        </w:tc>
        <w:tc>
          <w:tcPr>
            <w:tcW w:type="dxa" w:w="3888"/>
          </w:tcPr>
          <w:p>
            <w:r>
              <w:t>relative wealth ratio 1.0206 vs the peer composite, annualized excess return 0.41%/yr (not a public market equivalent), FY2022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1.762, Direct Alpha 12.0%/yr, 2021-03-31 to 2026-03-31</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9/12 and secondary 9/12 (only two slots). Retained in log as viable alternate</w:t>
            </w:r>
          </w:p>
        </w:tc>
      </w:tr>
    </w:tbl>
    <w:p>
      <w:pPr>
        <w:pStyle w:val="Heading1"/>
      </w:pPr>
      <w:r>
        <w:t>Exhibit B. Liquidity match for this plan</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net assets</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1.91% expense ratio, AFFE excluded (FY2026, Class I)</w:t>
            </w:r>
          </w:p>
        </w:tc>
        <w:tc>
          <w:tcPr>
            <w:tcW w:type="dxa" w:w="2880"/>
          </w:tcPr>
          <w:p>
            <w:r>
              <w:t>extracted-unverified</w:t>
            </w:r>
          </w:p>
        </w:tc>
      </w:tr>
      <w:tr>
        <w:tc>
          <w:tcPr>
            <w:tcW w:type="dxa" w:w="2880"/>
          </w:tcPr>
          <w:p>
            <w:r>
              <w:t>2.4 AFFE</w:t>
            </w:r>
          </w:p>
        </w:tc>
        <w:tc>
          <w:tcPr>
            <w:tcW w:type="dxa" w:w="3600"/>
          </w:tcPr>
          <w:p>
            <w:r>
              <w:t>AFFE 0.59%</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no typed fact for this cell</w:t>
            </w:r>
          </w:p>
        </w:tc>
        <w:tc>
          <w:tcPr>
            <w:tcW w:type="dxa" w:w="2880"/>
          </w:tcPr>
          <w:p>
            <w:r>
              <w:t>partial</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multi-strategy (secondaries-led) tender-offer fund -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27, verified 0, computed 10,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