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Ares Private Markets Fund (tender-offer fund ('40 Act), CIK 1876006)</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evergreen private equity cohort without Ares Private Markets Fund (members: AMG Pantheon Fund, LLC, Hamilton Lane Private Assets Fund, KKR Private Equity Conglomerate LLC, StepStone Private Markets) at 9/12, relative wealth ratio 1.0822 vs the peer composite, annualized excess return 1.99%/yr (not a public market equivalent) over FY2023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Ares Private Markets Fund (members: AMG Pantheon Fund, LLC, Hamilton Lane Private Assets Fund, KKR Private Equity Conglomerate LLC, StepStone Private Markets)</w:t>
            </w:r>
          </w:p>
        </w:tc>
        <w:tc>
          <w:tcPr>
            <w:tcW w:type="dxa" w:w="864"/>
          </w:tcPr>
          <w:p>
            <w:r>
              <w:t>9/12</w:t>
            </w:r>
          </w:p>
        </w:tc>
        <w:tc>
          <w:tcPr>
            <w:tcW w:type="dxa" w:w="3888"/>
          </w:tcPr>
          <w:p>
            <w:r>
              <w:t>relative wealth ratio 1.0822 vs the peer composite, annualized excess return 1.99%/yr (not a public market equivalent), FY2023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1.5712, Direct Alpha 11.97%/yr, 2022-04-01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1.40% on managed assets (leverage-inclusive)</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5.02% expense ratio, gross, before a 0.03% waiver, including the 1.60% incentive-fee drag, AFFE excluded (FY2026, Class I)</w:t>
            </w:r>
          </w:p>
        </w:tc>
        <w:tc>
          <w:tcPr>
            <w:tcW w:type="dxa" w:w="2880"/>
          </w:tcPr>
          <w:p>
            <w:r>
              <w:t>extracted-unverified</w:t>
            </w:r>
          </w:p>
        </w:tc>
      </w:tr>
      <w:tr>
        <w:tc>
          <w:tcPr>
            <w:tcW w:type="dxa" w:w="2880"/>
          </w:tcPr>
          <w:p>
            <w:r>
              <w:t>2.4 AFFE</w:t>
            </w:r>
          </w:p>
        </w:tc>
        <w:tc>
          <w:tcPr>
            <w:tcW w:type="dxa" w:w="3600"/>
          </w:tcPr>
          <w:p>
            <w:r>
              <w:t>AFFE 1.00%</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Secondaries-led evergreen PE tender-offer fund - wrapper and strategy twin of hl_paf/stepstone_spm.</w:t>
      </w:r>
    </w:p>
    <w:p>
      <w:r>
        <w:t>Cohort placement (evergreen private equity cohort): mgmt fee: 50th percentile of cohort (n=5), at the median of 1.4 | expense ratio (bases differ, see notes): 90th percentile of cohort (n=5), above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28, verified 0, computed 9, partial 2,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