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Ares Private Markets Fund (tender-offer fund ('40 Act), CIK 1876006)</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1.57 vs PSP, peer relative wealth ratio 1.08. 1.11 inception 2022-04-01, 4 years.</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Primary Peer composite, evergreen private equity cohort without Ares Private Markets Fund (members: AMG Pantheon Fund, LLC, Hamilton Lane Private Assets Fund, KKR Private Equity Conglomerate LLC, StepStone Private Markets): relative wealth ratio 1.0822 over FY2023 to FY2026 (4 overlapping fiscal year(s) of 5 composite years), fund growth 1.6819x / peer composite growth 1.5541x on two-point flows, annualized excess return +1.99%/yr, fund return source: filed fiscal-year returns.</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c>
          <w:tcPr>
            <w:tcW w:type="dxa" w:w="1728"/>
          </w:tcPr>
          <w:p>
            <w:r>
              <w:t>2. Fees (h)</w:t>
            </w:r>
          </w:p>
        </w:tc>
        <w:tc>
          <w:tcPr>
            <w:tcW w:type="dxa" w:w="7632"/>
          </w:tcPr>
          <w:p>
            <w:r>
              <w:t>Typed facts: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 a leverage-inclusive base: total assets (including assets attributable to borrowings/indebtedness/preferred) minus liabilities OTHER than borrowing-related liabilities -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3.3 no gating identified in the filings on record. 3.9 structural verdict conditional,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demand modeled per reference plan in the liquidity artifacts.</w:t>
            </w:r>
          </w:p>
        </w:tc>
      </w:tr>
      <w:tr>
        <w:tc>
          <w:tcPr>
            <w:tcW w:type="dxa" w:w="1728"/>
          </w:tcPr>
          <w:p>
            <w:r>
              <w:t>4. Valuation (j)</w:t>
            </w:r>
          </w:p>
        </w:tc>
        <w:tc>
          <w:tcPr>
            <w:tcW w:type="dxa" w:w="7632"/>
          </w:tcPr>
          <w:p>
            <w:r>
              <w:t>Typed facts: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ares_pmf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evergreen PE peer composite selected, 9/12.</w:t>
            </w:r>
          </w:p>
          <w:p>
            <w:r>
              <w:t>5.1 Self-declared benchmark (extracted-unverified): Broad-based comparison index in the FY2026 shareholder report: MSCI World Index -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secondary slot): window 2022-04-01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 Ares Capital Management II LLC, 245 Park Avenue, 44th Floor, New York, NY (wholly owned subsidiary of Ares Management Corporation).</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evergreen private equity cohort without Ares Private Markets Fund (members: AMG Pantheon Fund, LLC, Hamilton Lane Private Assets Fund, KKR Private Equity Conglomerate LLC, StepStone Private Markets) (score 9/12)</w:t>
      </w:r>
    </w:p>
    <w:p>
      <w:r>
        <w:t>Window FY2023 to FY2026 (4 overlapping fiscal year(s) of 5 composite years): fund 13.88%/yr (filed fiscal-year returns) vs peer composite 11.65%/yr, relative wealth ratio 1.0822, annualized excess return 1.99%/yr.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(amg_pantheon, hl_paf, stepstone_spm), 12 (kkr_kpec), the fund's in month 03.</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equity / evergreen private equity)</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4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Listed private equity investable proxy (PSP) (score 9/12)</w:t>
      </w:r>
    </w:p>
    <w:p>
      <w:r>
        <w:t>Window 2022-04-01 to 2026-03-31: fund 13.89%/yr (filed fiscal-year returns) vs public proxy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private equity)</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plan_restaurant_hourly.json (Form 5500, plan year 2024-05-01 to 2025-04-30).</w:t>
      </w:r>
    </w:p>
    <w:p>
      <w:pPr>
        <w:pStyle w:val="Heading1"/>
      </w:pPr>
      <w:r>
        <w:t>Peer cohort placement</w:t>
      </w:r>
    </w:p>
    <w:p>
      <w:r>
        <w:t>Evidence depth tier: COHORT. Cohort: Evergreen private equity ('40-Act funds + '34-Act conglomerate) (n=5). Membership rationale: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Benchmark: Peer composite, evergreen private equity cohort without Ares Private Markets Fund (members: AMG Pantheon Fund, LLC, Hamilton Lane Private Assets Fund, KKR Private Equity Conglomerate LLC, StepStone Private Markets) selected as primary at 9/12, secondary Listed private equity investable proxy (PSP)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9, partial 2,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annual report, FYE 3/31/2026), filed 2026-06-04; 4/30/2026 point per SC TO-I filed 2026-06-01</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tc>
      </w:tr>
      <w:tr>
        <w:tc>
          <w:tcPr>
            <w:tcW w:type="dxa" w:w="720"/>
          </w:tcPr>
          <w:p>
            <w:r>
              <w:t>1.2</w:t>
            </w:r>
          </w:p>
        </w:tc>
        <w:tc>
          <w:tcPr>
            <w:tcW w:type="dxa" w:w="3456"/>
          </w:tcPr>
          <w:p>
            <w:r>
              <w:t>N-CSR (FY2026 annual report, FYE 3/31/2026), filed 2026-06-04</w:t>
            </w:r>
          </w:p>
        </w:tc>
        <w:tc>
          <w:tcPr>
            <w:tcW w:type="dxa" w:w="5184"/>
          </w:tcPr>
          <w:p>
            <w:r>
              <w:t>N-CSR 2026-06-04 accession 0001104659-26-070470 https://www.sec.gov/Archives/edgar/data/1876006/000110465926070470/tm2616630d1_ncsr.htm</w:t>
            </w:r>
          </w:p>
        </w:tc>
      </w:tr>
      <w:tr>
        <w:tc>
          <w:tcPr>
            <w:tcW w:type="dxa" w:w="720"/>
          </w:tcPr>
          <w:p>
            <w:r>
              <w:t>1.3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1.8</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filed 2026-06-04 (Note 1; Item 13; Fund Management); 424B3 supplement dated 2026-06-04 (Herbers addition); 486BPOS filed 2026-07-29 (platform AUM)</w:t>
            </w:r>
          </w:p>
        </w:tc>
        <w:tc>
          <w:tcPr>
            <w:tcW w:type="dxa" w:w="5184"/>
          </w:tcPr>
          <w:p>
            <w:r>
              <w:t>N-CSR 2026-06-04 accession 0001104659-26-070470 https://www.sec.gov/Archives/edgar/data/1876006/000110465926070470/tm2616630d1_ncsr.htm</w:t>
            </w:r>
          </w:p>
          <w:p>
            <w:r>
              <w:t>424B3 2026-06-04 accession 0001104659-26-070502 https://www.sec.gov/Archives/edgar/data/1876006/000110465926070502/tm2616743d1_424b3.htm</w:t>
            </w:r>
          </w:p>
          <w:p>
            <w:r>
              <w:t>486BPOS 2026-07-29 accession 0001104659-26-088219 https://www.sec.gov/Archives/edgar/data/1876006/000110465926088219/tm2621209d1_486bpos.htm</w:t>
            </w:r>
          </w:p>
        </w:tc>
      </w:tr>
      <w:tr>
        <w:tc>
          <w:tcPr>
            <w:tcW w:type="dxa" w:w="720"/>
          </w:tcPr>
          <w:p>
            <w:r>
              <w:t>2.1</w:t>
            </w:r>
          </w:p>
        </w:tc>
        <w:tc>
          <w:tcPr>
            <w:tcW w:type="dxa" w:w="3456"/>
          </w:tcPr>
          <w:p>
            <w:r>
              <w:t>N-CSR (FY2026 annual report), filed 2026-06-04, Note 4; rate/base restated in 486BPOS filed 2026-07-29, fee table fn (3)</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2.2</w:t>
            </w:r>
          </w:p>
        </w:tc>
        <w:tc>
          <w:tcPr>
            <w:tcW w:type="dxa" w:w="3456"/>
          </w:tcPr>
          <w:p>
            <w:r>
              <w:t>N-CSR (FY2026 annual report), filed 2026-06-04, Note 4; 486BPOS filed 2026-07-29, fee table fn (4)</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2.3</w:t>
            </w:r>
          </w:p>
        </w:tc>
        <w:tc>
          <w:tcPr>
            <w:tcW w:type="dxa" w:w="3456"/>
          </w:tcPr>
          <w:p>
            <w:r>
              <w:t>N-CSR (FY2026 annual report), filed 2026-06-04 - Financial Highlights + Note 4 Expense Limitation Agreement; 486BPOS filed 2026-07-29 fee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2.4</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2.5</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2.6</w:t>
            </w:r>
          </w:p>
        </w:tc>
        <w:tc>
          <w:tcPr>
            <w:tcW w:type="dxa" w:w="3456"/>
          </w:tcPr>
          <w:p>
            <w:r>
              <w:t>N-CSR (FY2026 annual report), filed 2026-06-04, Note 4 - Distribution Agreement and Note 6; 486BPOS filed 2026-07-29 Shareholder Transaction Expenses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2.7</w:t>
            </w:r>
          </w:p>
        </w:tc>
        <w:tc>
          <w:tcPr>
            <w:tcW w:type="dxa" w:w="3456"/>
          </w:tcPr>
          <w:p>
            <w:r>
              <w:t>N-CSR (FY2026 annual report), filed 2026-06-04, Note 7; 486BPOS filed 2026-07-29 fee table fn (2); SC TO-I filed 2026-06-01 (FIFO)</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p>
            <w:r>
              <w:t>SC TO-I 2026-06-01 accession 0001104659-26-068976 https://www.sec.gov/Archives/edgar/data/1876006/000110465926068976/tm2616081d1_sctoi.htm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N-CSR filed 2026-06-04, Notes 6-7 and Risk Factors; SC TO-I filed 2026-06-01, Item 1; 486BPOS filed 2026-07-29 facing sheet</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r>
        <w:tc>
          <w:tcPr>
            <w:tcW w:type="dxa" w:w="720"/>
          </w:tcPr>
          <w:p>
            <w:r>
              <w:t>3.2</w:t>
            </w:r>
          </w:p>
        </w:tc>
        <w:tc>
          <w:tcPr>
            <w:tcW w:type="dxa" w:w="3456"/>
          </w:tcPr>
          <w:p>
            <w:r>
              <w:t>SC TO-I issuer tender offer, filed 2026-06-01</w:t>
            </w:r>
          </w:p>
        </w:tc>
        <w:tc>
          <w:tcPr>
            <w:tcW w:type="dxa" w:w="5184"/>
          </w:tcPr>
          <w:p>
            <w:r>
              <w:t>SC TO-I 2026-06-01 accession 0001104659-26-068976 https://www.sec.gov/Archives/edgar/data/1876006/000110465926068976/tm2616081d1_sctoi.htm</w:t>
            </w:r>
          </w:p>
        </w:tc>
      </w:tr>
      <w:tr>
        <w:tc>
          <w:tcPr>
            <w:tcW w:type="dxa" w:w="720"/>
          </w:tcPr>
          <w:p>
            <w:r>
              <w:t>3.3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3.6</w:t>
            </w:r>
          </w:p>
        </w:tc>
        <w:tc>
          <w:tcPr>
            <w:tcW w:type="dxa" w:w="3456"/>
          </w:tcPr>
          <w:p>
            <w:r>
              <w:t>N-CSR (FY2026 annual report), filed 2026-06-04, Note 5 and Financial Highlights SENIOR SECURITIES; borrowing-limit policy per 486BPOS filed 2026-07-29</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3.8</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base prospectus+SAI, filed 2026-07-29 - NET ASSET VALUATION; corroborated by N-CSR filed 2026-06-04, Note 2 ('values its investments monthly')</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4.2</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4.3</w:t>
            </w:r>
          </w:p>
        </w:tc>
        <w:tc>
          <w:tcPr>
            <w:tcW w:type="dxa" w:w="3456"/>
          </w:tcPr>
          <w:p>
            <w:r>
              <w:t>486BPOS base prospectus+SAI, filed 2026-07-29; name-absence search across all on-disk ares_pmf filings</w:t>
            </w:r>
          </w:p>
        </w:tc>
        <w:tc>
          <w:tcPr>
            <w:tcW w:type="dxa" w:w="5184"/>
          </w:tcPr>
          <w:p>
            <w:r>
              <w:t>486BPOS 2026-07-29 accession 0001104659-26-088219 https://www.sec.gov/Archives/edgar/data/1876006/000110465926088219/tm2621209d1_486bpos.htm</w:t>
            </w:r>
          </w:p>
          <w:p>
            <w:r>
              <w:t>*, cited as all filings held for the product, 4 held:</w:t>
            </w:r>
          </w:p>
          <w:p>
            <w:r>
              <w:t>2026-06-01 accession 0001104659-26-068976 https://www.sec.gov/Archives/edgar/data/1876006/000110465926068976/tm2616081d1_sctoi.htm</w:t>
            </w:r>
          </w:p>
          <w:p>
            <w:r>
              <w:t>2026-06-04 accession 0001104659-26-070502 https://www.sec.gov/Archives/edgar/data/1876006/000110465926070502/tm2616743d1_424b3.htm</w:t>
            </w:r>
          </w:p>
          <w:p>
            <w:r>
              <w:t>2026-06-04 accession 0001104659-26-070470 https://www.sec.gov/Archives/edgar/data/1876006/000110465926070470/tm2616630d1_ncsr.htm</w:t>
            </w:r>
          </w:p>
          <w:p>
            <w:r>
              <w:t>2026-07-29 accession 0001104659-26-088219 https://www.sec.gov/Archives/edgar/data/1876006/000110465926088219/tm2621209d1_486bpos.htm</w:t>
            </w:r>
          </w:p>
        </w:tc>
      </w:tr>
      <w:tr>
        <w:tc>
          <w:tcPr>
            <w:tcW w:type="dxa" w:w="720"/>
          </w:tcPr>
          <w:p>
            <w:r>
              <w:t>4.4</w:t>
            </w:r>
          </w:p>
        </w:tc>
        <w:tc>
          <w:tcPr>
            <w:tcW w:type="dxa" w:w="3456"/>
          </w:tcPr>
          <w:p>
            <w:r>
              <w:t>N-CSR (FY2026 annual report), filed 2026-06-04, Note 3 (L3 techniques + unobservable inputs table); 486BPOS filed 2026-07-29 NET ASSET VALUATION</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4.5</w:t>
            </w:r>
          </w:p>
        </w:tc>
        <w:tc>
          <w:tcPr>
            <w:tcW w:type="dxa" w:w="3456"/>
          </w:tcPr>
          <w:p>
            <w:r>
              <w:t>N-CSR (FY2026 annual report), filed 2026-06-04 - Report of Independent Registered Public Accounting Firm + Item 4; 486BPOS filed 2026-07-29 INDEPENDENT REGISTERED PUBLIC ACCOUNTING FIRM</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4.6</w:t>
            </w:r>
          </w:p>
        </w:tc>
        <w:tc>
          <w:tcPr>
            <w:tcW w:type="dxa" w:w="3456"/>
          </w:tcPr>
          <w:p>
            <w:r>
              <w:t>N-CSR (FY2026 annual report), filed 2026-06-04, Note 2 (absence search across all on-disk ares_pmf filings)</w:t>
            </w:r>
          </w:p>
        </w:tc>
        <w:tc>
          <w:tcPr>
            <w:tcW w:type="dxa" w:w="5184"/>
          </w:tcPr>
          <w:p>
            <w:r>
              <w:t>N-CSR 2026-06-04 accession 0001104659-26-070470 https://www.sec.gov/Archives/edgar/data/1876006/000110465926070470/tm2616630d1_ncsr.htm</w:t>
            </w:r>
          </w:p>
        </w:tc>
      </w:tr>
      <w:tr>
        <w:tc>
          <w:tcPr>
            <w:tcW w:type="dxa" w:w="720"/>
          </w:tcPr>
          <w:p>
            <w:r>
              <w:t>5.1</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5.3</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2026-06-04 - Notes 1, 2, 9; 486BPOS filed 2026-07-29 (exemptive orders, eligibility, tickers)</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6.2</w:t>
            </w:r>
          </w:p>
        </w:tc>
        <w:tc>
          <w:tcPr>
            <w:tcW w:type="dxa" w:w="3456"/>
          </w:tcPr>
          <w:p>
            <w:r>
              <w:t>486BPOS base prospectus+SAI, filed 2026-07-29 (investment program, 80% policy); N-CSR filed 2026-06-04 (actual composition; derivative absence)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6.3</w:t>
            </w:r>
          </w:p>
        </w:tc>
        <w:tc>
          <w:tcPr>
            <w:tcW w:type="dxa" w:w="3456"/>
          </w:tcPr>
          <w:p>
            <w:r>
              <w:t>486BPOS filed 2026-07-29 - POTENTIAL CONFLICTS OF INTEREST + co-investment risk disclosure; N-CSR filed 2026-06-04 (related-party amounts; Fund Management interested-trustee table)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6.4</w:t>
            </w:r>
          </w:p>
        </w:tc>
        <w:tc>
          <w:tcPr>
            <w:tcW w:type="dxa" w:w="3456"/>
          </w:tcPr>
          <w:p>
            <w:r>
              <w:t>486BPOS base prospectus+SAI, filed 2026-07-29 (distributions/tax sections); N-CSR filed 2026-06-04, Note 9</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6.5</w:t>
            </w:r>
          </w:p>
        </w:tc>
        <w:tc>
          <w:tcPr>
            <w:tcW w:type="dxa" w:w="3456"/>
          </w:tcPr>
          <w:p>
            <w:r>
              <w:t>N-CSR (FY2026 annual report), filed 2026-06-04, Note 4 (Administration/Transfer Agent/Distribution/Custodian agreements) + cover; SC TO-I filed 2026-06-01 (SS&amp;C tender administrator); 486BPOS filed 2026-07-29 (E&amp;Y address)</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bl>
    <w:p>
      <w:r>
        <w:t>Data sources: SEC EDGAR filings (4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