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rejected</w:t>
            </w:r>
          </w:p>
        </w:tc>
        <w:tc>
          <w:tcPr>
            <w:tcW w:type="dxa" w:w="3456"/>
          </w:tcPr>
          <w:p>
            <w:r>
              <w:t>S&amp;P 500 investable proxy (SPY)</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Listed private equity investable proxy (PSP)</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composite, pre-IPO and venture cohort without ARK Venture Fund (members: Destiny Tech100 Inc, Neostellar Capital Corp.)</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expense ratio, net of waivers, 4.39% gross (FY2025)</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12, partial 2,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