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1.25 vs BKLN, peer relative wealth ratio 0.98.</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Ann vol (observed, monthly adj-close) 2.07% full-history / 2.11% to FYE; ann return 7.91% / 7.98%.</w:t>
            </w:r>
          </w:p>
          <w:p>
            <w:r>
              <w:t>1.7 De-smoothed volatility (computed): Geltner de-smoothed ann vol 2.39% (rho 0.139) / 2.45% to FYE.</w:t>
            </w:r>
          </w:p>
          <w:p>
            <w:r>
              <w:t>1.8 Risk-adjusted metrics (PME etc) (computed): Primary Peer composite, private credit cohort without Cliffwater Corporate Lending Fund (members: Blackstone Private Credit Fund, CION Ares Diversified Credit Fund, Blue Owl Credit Income Corp., PIMCO Flexible Credit Income Fund): relative wealth ratio 0.9756 over FY2021 to FY2025 (4 overlapping fiscal year(s) of 5 composite years), fund growth 1.4945x / peer composite growth 1.5318x on two-point flows, annualized excess return -0.61%/yr, fund return source: filed fiscal-year returns.</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filings on disk for this fund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private credit peer composite selected, 9/12.</w:t>
            </w:r>
          </w:p>
          <w:p>
            <w:r>
              <w:t>5.1 Self-declared benchmark (extracted-unverified): CORRECTED per crosscheck: the fund EXPRESSLY DECLARES NO designated performance benchmark.</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secondary slot): window 2019-06-05 to 2026-07-17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private credit cohort without Cliffwater Corporate Lending Fund (members: Blackstone Private Credit Fund, CION Ares Diversified Credit Fund, Blue Owl Credit Income Corp., PIMCO Flexible Credit Income Fund) (score 9/12)</w:t>
      </w:r>
    </w:p>
    <w:p>
      <w:r>
        <w:t>Window FY2021 to FY2025 (4 overlapping fiscal year(s) of 5 composite years): fund 10.57%/yr (filed fiscal-year returns) vs peer composite 11.25%/yr, relative wealth ratio 0.9756, annualized excess return -0.61%/yr.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06 (pflex), 12 (bcred, cion_ares, ocic), the fund's in month 03. Composite year(s) 2022 skipped: the fund has no whole fiscal year with that label (stub or partial period excluded).</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credit / direct lending)</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4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Senior loan investable proxy (BKLN, for Morningstar LSTA class) (score 9/12)</w:t>
      </w:r>
    </w:p>
    <w:p>
      <w:r>
        <w:t>Window 2019-06-05 to 2026-07-17: fund 7.89%/yr (Yahoo adjusted close, approximates NAV total return) vs public proxy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5/12</w:t>
            </w:r>
          </w:p>
        </w:tc>
        <w:tc>
          <w:tcPr>
            <w:tcW w:type="dxa" w:w="4752"/>
          </w:tcPr>
          <w:p>
            <w:r>
              <w:t>score 5/12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plan_restaurant_hourly.json (Form 5500, plan year 2024-05-01 to 2025-04-30).</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Benchmark: Peer composite, private credit cohort without Cliffwater Corporate Lending Fund (members: Blackstone Private Credit Fund, CION Ares Diversified Credit Fund, Blue Owl Credit Income Corp., PIMCO Flexible Credit Income Fund) selected as primary at 9/12,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12, partial 7, fetched 2, n/a 10, pending 0. 44 of 44 resolvable, 0 verified, 10 n/a by wrapper.</w:t>
      </w:r>
    </w:p>
    <w:p>
      <w:r>
        <w:t>Of the 42 evidenced cells, 42 carry a source document, 41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the analytics metrics artifact</w:t>
            </w:r>
          </w:p>
        </w:tc>
        <w:tc>
          <w:tcPr>
            <w:tcW w:type="dxa" w:w="5184"/>
          </w:tcPr>
          <w:p>
            <w:r>
              <w:t>accession not on record: no filing reference in the source field</w:t>
            </w:r>
          </w:p>
        </w:tc>
      </w:tr>
      <w:tr>
        <w:tc>
          <w:tcPr>
            <w:tcW w:type="dxa" w:w="720"/>
          </w:tcPr>
          <w:p>
            <w:r>
              <w:t>1.7</w:t>
            </w:r>
          </w:p>
        </w:tc>
        <w:tc>
          <w:tcPr>
            <w:tcW w:type="dxa" w:w="3456"/>
          </w:tcPr>
          <w:p>
            <w:r>
              <w:t>the analytics metrics artifact</w:t>
            </w:r>
          </w:p>
        </w:tc>
        <w:tc>
          <w:tcPr>
            <w:tcW w:type="dxa" w:w="5184"/>
          </w:tcPr>
          <w:p>
            <w:r>
              <w:t>accession not on record: no filing reference in the source field</w:t>
            </w:r>
          </w:p>
        </w:tc>
      </w:tr>
      <w:tr>
        <w:tc>
          <w:tcPr>
            <w:tcW w:type="dxa" w:w="720"/>
          </w:tcPr>
          <w:p>
            <w:r>
              <w:t>1.8</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the fund's raw filings on disk);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the plan record on file</w:t>
            </w:r>
          </w:p>
        </w:tc>
        <w:tc>
          <w:tcPr>
            <w:tcW w:type="dxa" w:w="5184"/>
          </w:tcPr>
          <w:p>
            <w:r>
              <w:t>accession not on record: no filing reference in the source field</w:t>
            </w:r>
          </w:p>
        </w:tc>
      </w:tr>
      <w:tr>
        <w:tc>
          <w:tcPr>
            <w:tcW w:type="dxa" w:w="720"/>
          </w:tcPr>
          <w:p>
            <w:r>
              <w:t>3.8</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