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Destiny Tech100 Inc (listed closed-end fund (NYSE: DXYZ), CIK 1843974)</w:t>
        <w:br/>
      </w:r>
      <w:r>
        <w:t>Record as of 2026-09-04. DRAFT, generated by the build from the record. The decision memo for the same plan and product is a separate document.</w:t>
      </w:r>
    </w:p>
    <w:p>
      <w:pPr>
        <w:pStyle w:val="Heading1"/>
      </w:pPr>
      <w:r>
        <w:t>Summary</w:t>
      </w:r>
    </w:p>
    <w:p>
      <w:r>
        <w:t>Structural liquidity verdict: ALIGNED-MECHANICAL (typed facts, plan-independent). Scenario verdict under this plan (ILLUSTRATIVE, default sliders): ALIGNED-MECHANICAL.</w:t>
      </w:r>
    </w:p>
    <w:p>
      <w:r>
        <w:t>Benchmark: escalated. NO MEANINGFUL BENCHMARK CONSTRUCTIBLE from available data. Required next: public NAV series (quarterly filings) plus a premium/NAV decomposition before any comparator is defensible.</w:t>
      </w:r>
    </w:p>
    <w:p>
      <w:r>
        <w:t>Flags raised by the record (each restates a typed value or verdict, with its source):</w:t>
      </w:r>
    </w:p>
    <w:p>
      <w:pPr>
        <w:pStyle w:val="ListBullet"/>
      </w:pPr>
      <w:r>
        <w:t>Benchmark: NO MEANINGFUL BENCHMARK CONSTRUCTIBLE from available data. Required next: public NAV series (quarterly filings) plus a premium/NAV decomposition before any comparator is defensible. (benchmark selection)</w:t>
      </w:r>
    </w:p>
    <w:p>
      <w:r>
        <w:t>Evidence coverage: 41 of 41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No candidate is eligible on held data.</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rejected</w:t>
            </w:r>
          </w:p>
        </w:tc>
        <w:tc>
          <w:tcPr>
            <w:tcW w:type="dxa" w:w="3456"/>
          </w:tcPr>
          <w:p>
            <w:r>
              <w:t>S&amp;P 500 investable proxy (SPY)</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Listed private equity investable proxy (PSP)</w:t>
            </w:r>
          </w:p>
        </w:tc>
        <w:tc>
          <w:tcPr>
            <w:tcW w:type="dxa" w:w="864"/>
          </w:tcPr>
          <w:p>
            <w:r>
              <w:t>7/12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Peer composite, pre-IPO and venture cohort without Destiny Tech100 Inc (members: ARK Venture Fund, Neostellar Capital Corp.)</w:t>
            </w:r>
          </w:p>
        </w:tc>
        <w:tc>
          <w:tcPr>
            <w:tcW w:type="dxa" w:w="864"/>
          </w:tcPr>
          <w:p>
            <w:r>
              <w:t>3/12</w:t>
            </w:r>
          </w:p>
        </w:tc>
        <w:tc>
          <w:tcPr>
            <w:tcW w:type="dxa" w:w="3888"/>
          </w:tcPr>
          <w:p>
            <w:r>
              <w:t>fund price is premium/discount-driven and decoupled from NAV. Benchmarking the price benchmarks the premium, not the portfolio</w:t>
            </w:r>
          </w:p>
        </w:tc>
      </w:tr>
      <w:tr>
        <w:tc>
          <w:tcPr>
            <w:tcW w:type="dxa" w:w="1152"/>
          </w:tcPr>
          <w:p>
            <w:r>
              <w:t>rejected</w:t>
            </w:r>
          </w:p>
        </w:tc>
        <w:tc>
          <w:tcPr>
            <w:tcW w:type="dxa" w:w="3456"/>
          </w:tcPr>
          <w:p>
            <w:r>
              <w:t>NASDAQ Composite Index</w:t>
            </w:r>
          </w:p>
        </w:tc>
        <w:tc>
          <w:tcPr>
            <w:tcW w:type="dxa" w:w="864"/>
          </w:tcPr>
          <w:p>
            <w:r>
              <w:t>3/12</w:t>
            </w:r>
          </w:p>
        </w:tc>
        <w:tc>
          <w:tcPr>
            <w:tcW w:type="dxa" w:w="3888"/>
          </w:tcPr>
          <w:p>
            <w:r>
              <w:t>fund price is premium/discount-driven and decoupled from NAV. Benchmarking the price benchmarks the premium, not the portfolio</w:t>
            </w:r>
          </w:p>
        </w:tc>
      </w:tr>
    </w:tbl>
    <w:p>
      <w:pPr>
        <w:pStyle w:val="Heading1"/>
      </w:pPr>
      <w:r>
        <w:t>Exhibit B. Liquidity match for this plan</w:t>
      </w:r>
    </w:p>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 closed-end fund</w:t>
            </w:r>
          </w:p>
        </w:tc>
        <w:tc>
          <w:tcPr>
            <w:tcW w:type="dxa" w:w="1152"/>
          </w:tcPr>
          <w:p>
            <w:r>
              <w:t>6.1</w:t>
            </w:r>
          </w:p>
        </w:tc>
      </w:tr>
      <w:tr>
        <w:tc>
          <w:tcPr>
            <w:tcW w:type="dxa" w:w="2448"/>
          </w:tcPr>
          <w:p>
            <w:r>
              <w:t>Dealing terms</w:t>
            </w:r>
          </w:p>
        </w:tc>
        <w:tc>
          <w:tcPr>
            <w:tcW w:type="dxa" w:w="5760"/>
          </w:tcPr>
          <w:p>
            <w:r>
              <w:t>daily on-exchange dealing, no fund-level cap (3.1)</w:t>
            </w:r>
          </w:p>
        </w:tc>
        <w:tc>
          <w:tcPr>
            <w:tcW w:type="dxa" w:w="1152"/>
          </w:tcPr>
          <w:p>
            <w:r>
              <w:t>3.1</w:t>
            </w:r>
          </w:p>
        </w:tc>
      </w:tr>
      <w:tr>
        <w:tc>
          <w:tcPr>
            <w:tcW w:type="dxa" w:w="2448"/>
          </w:tcPr>
          <w:p>
            <w:r>
              <w:t>Repurchase caps</w:t>
            </w:r>
          </w:p>
        </w:tc>
        <w:tc>
          <w:tcPr>
            <w:tcW w:type="dxa" w:w="5760"/>
          </w:tcPr>
          <w:p>
            <w:r>
              <w:t>no fund-level cap, capacity is market depth</w:t>
            </w:r>
          </w:p>
        </w:tc>
        <w:tc>
          <w:tcPr>
            <w:tcW w:type="dxa" w:w="1152"/>
          </w:tcPr>
          <w:p>
            <w:r>
              <w:t>3.1</w:t>
            </w:r>
          </w:p>
        </w:tc>
      </w:tr>
      <w:tr>
        <w:tc>
          <w:tcPr>
            <w:tcW w:type="dxa" w:w="2448"/>
          </w:tcPr>
          <w:p>
            <w:r>
              <w:t>Annual capacity (binding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3.1</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not applicable (exchange-traded).</w:t>
      </w:r>
    </w:p>
    <w:p>
      <w:r>
        <w:t>Stressed (tail turnover x2, active turnover x1.5 vs base scenario): demand $13.2M/yr = 16.7%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r>
        <w:t>Cited: cell 3.1, cell 3.7,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2.50% on gross assets incl. borrowings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4.53% expense ratio, of average net assets (FY2025)</w:t>
            </w:r>
          </w:p>
        </w:tc>
        <w:tc>
          <w:tcPr>
            <w:tcW w:type="dxa" w:w="2880"/>
          </w:tcPr>
          <w:p>
            <w:r>
              <w:t>extracted-unverified</w:t>
            </w:r>
          </w:p>
        </w:tc>
      </w:tr>
      <w:tr>
        <w:tc>
          <w:tcPr>
            <w:tcW w:type="dxa" w:w="2880"/>
          </w:tcPr>
          <w:p>
            <w:r>
              <w:t>2.4 AFFE</w:t>
            </w:r>
          </w:p>
        </w:tc>
        <w:tc>
          <w:tcPr>
            <w:tcW w:type="dxa" w:w="3600"/>
          </w:tcPr>
          <w:p>
            <w:r>
              <w:t>AFFE 0.03%</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n/a</w:t>
            </w:r>
          </w:p>
        </w:tc>
        <w:tc>
          <w:tcPr>
            <w:tcW w:type="dxa" w:w="2880"/>
          </w:tcPr>
          <w:p>
            <w:r>
              <w:t>n/a - no early-repurchase fee (exchange-traded)</w:t>
            </w:r>
          </w:p>
        </w:tc>
      </w:tr>
      <w:tr>
        <w:tc>
          <w:tcPr>
            <w:tcW w:type="dxa" w:w="2880"/>
          </w:tcPr>
          <w:p>
            <w:r>
              <w:t>6.4 Tax reporting (1099 vs K-1)</w:t>
            </w:r>
          </w:p>
        </w:tc>
        <w:tc>
          <w:tcPr>
            <w:tcW w:type="dxa" w:w="3600"/>
          </w:tcPr>
          <w:p>
            <w:r>
              <w:t>no typed fact for this cell</w:t>
            </w:r>
          </w:p>
        </w:tc>
        <w:tc>
          <w:tcPr>
            <w:tcW w:type="dxa" w:w="2880"/>
          </w:tcPr>
          <w:p>
            <w:r>
              <w:t>partial</w:t>
            </w:r>
          </w:p>
        </w:tc>
      </w:tr>
    </w:tbl>
    <w:p>
      <w:pPr>
        <w:pStyle w:val="Heading1"/>
      </w:pPr>
      <w:r>
        <w:t>Exhibit D. Peer cohort placement</w:t>
      </w:r>
    </w:p>
    <w:p>
      <w:r>
        <w:t>Cohort Pre-IPO / venture growth (listed CEF + listed BDC + interval fund) (n=3). Listed CEF holding pre-IPO tech, the premium-pricing fail case. The cohort exists to show premium vs NAV pricing as a PATTERN.</w:t>
      </w:r>
    </w:p>
    <w:p>
      <w:r>
        <w:t>Cohort placement (pre-IPO and venture cohort): mgmt fee: at the cohort median of 2.5 (n=3, too small for percentile language) | expense ratio (bases differ, see notes): at the cohort median of 4.53 (n=3, too small for percentile language) | repurchase cap: fact unavailable for this member. Statistics and per-member values are in the cohort artifact, membership rationales in the typed facts.</w:t>
      </w:r>
    </w:p>
    <w:p>
      <w:pPr>
        <w:pStyle w:val="ListBullet"/>
      </w:pPr>
      <w:r>
        <w:t>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NAV-CADENCE MIX: daily, monthly, and quarterly NAV processes embed different appraisal smoothing. Volatility and drawdown comparisons inherit that difference (see de-smoothing lab). [typed per product: arkvx: daily, dxyz: quarterly, ssss: quarterly]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0, extracted-unverified 24, verified 0, computed 13, partial 3,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