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KKR Private Equity Conglomerate LLC (non-traded '34 Act reporting company, CIK 1957845)</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Listed private equity investable proxy (PSP) at 9/12, KS-PME 0.8964, Direct Alpha -4.58%/yr over 2023-09-01 to 2025-12-31.</w:t>
      </w:r>
    </w:p>
    <w:p>
      <w:r>
        <w:t>Flags raised by the record (each restates a typed value or verdict, with its source):</w:t>
      </w:r>
    </w:p>
    <w:p>
      <w:pPr>
        <w:pStyle w:val="ListBullet"/>
      </w:pPr>
      <w:r>
        <w:t>Benchmark: low confidence: 2.33-year window, shorter than 3 years (benchmark comparison)</w:t>
      </w:r>
    </w:p>
    <w:p>
      <w:pPr>
        <w:pStyle w:val="ListBullet"/>
      </w:pPr>
      <w:r>
        <w:t>Tax reporting: Schedule K-1 (cell 6.4)</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private equity investable proxy (PSP)</w:t>
            </w:r>
          </w:p>
        </w:tc>
        <w:tc>
          <w:tcPr>
            <w:tcW w:type="dxa" w:w="864"/>
          </w:tcPr>
          <w:p>
            <w:r>
              <w:t>9/12</w:t>
            </w:r>
          </w:p>
        </w:tc>
        <w:tc>
          <w:tcPr>
            <w:tcW w:type="dxa" w:w="3888"/>
          </w:tcPr>
          <w:p>
            <w:r>
              <w:t>KS-PME 0.8964, Direct Alpha -4.58%/yr, 2023-09-01 to 2025-12-31</w:t>
            </w:r>
          </w:p>
        </w:tc>
      </w:tr>
      <w:tr>
        <w:tc>
          <w:tcPr>
            <w:tcW w:type="dxa" w:w="1152"/>
          </w:tcPr>
          <w:p>
            <w:r>
              <w:t>secondary</w:t>
            </w:r>
          </w:p>
        </w:tc>
        <w:tc>
          <w:tcPr>
            <w:tcW w:type="dxa" w:w="3456"/>
          </w:tcPr>
          <w:p>
            <w:r>
              <w:t>Cambridge Associates US PE benchmark</w:t>
            </w:r>
          </w:p>
        </w:tc>
        <w:tc>
          <w:tcPr>
            <w:tcW w:type="dxa" w:w="864"/>
          </w:tcPr>
          <w:p>
            <w:r>
              <w:t>7/12</w:t>
            </w:r>
          </w:p>
        </w:tc>
        <w:tc>
          <w:tcPr>
            <w:tcW w:type="dxa" w:w="3888"/>
          </w:tcPr>
          <w:p>
            <w:r>
              <w:t>selected</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Peer composite, evergreen private equity cohort without KKR Private Equity Conglomerate LLC (members: AMG Pantheon Fund, LLC, Ares Private Markets Fund, Hamilton Lane Private Assets Fund, StepStone Private Markets)</w:t>
            </w:r>
          </w:p>
        </w:tc>
        <w:tc>
          <w:tcPr>
            <w:tcW w:type="dxa" w:w="864"/>
          </w:tcPr>
          <w:p>
            <w:r>
              <w:t>7/12</w:t>
            </w:r>
          </w:p>
        </w:tc>
        <w:tc>
          <w:tcPr>
            <w:tcW w:type="dxa" w:w="3888"/>
          </w:tcPr>
          <w:p>
            <w:r>
              <w:t>outranked: score 7/12 vs primary 9/12 and secondary 7/12 (only two slots). Retained in log as viable alternate</w:t>
            </w:r>
          </w:p>
        </w:tc>
      </w:tr>
    </w:tbl>
    <w:p>
      <w:pPr>
        <w:pStyle w:val="Heading1"/>
      </w:pPr>
      <w:r>
        <w:t>Exhibit B. Liquidity match for this plan</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15% / 5%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partial</w:t>
            </w:r>
          </w:p>
        </w:tc>
      </w:tr>
      <w:tr>
        <w:tc>
          <w:tcPr>
            <w:tcW w:type="dxa" w:w="2880"/>
          </w:tcPr>
          <w:p>
            <w:r>
              <w:t>2.4 AFFE</w:t>
            </w:r>
          </w:p>
        </w:tc>
        <w:tc>
          <w:tcPr>
            <w:tcW w:type="dxa" w:w="3600"/>
          </w:tcPr>
          <w:p>
            <w:r>
              <w:t>no typed fact for this cell</w:t>
            </w:r>
          </w:p>
        </w:tc>
        <w:tc>
          <w:tcPr>
            <w:tcW w:type="dxa" w:w="2880"/>
          </w:tcPr>
          <w:p>
            <w:r>
              <w:t>partial</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5% &lt; 24 months</w:t>
            </w:r>
          </w:p>
        </w:tc>
        <w:tc>
          <w:tcPr>
            <w:tcW w:type="dxa" w:w="2880"/>
          </w:tcPr>
          <w:p>
            <w:r>
              <w:t>extracted-unverified</w:t>
            </w:r>
          </w:p>
        </w:tc>
      </w:tr>
      <w:tr>
        <w:tc>
          <w:tcPr>
            <w:tcW w:type="dxa" w:w="2880"/>
          </w:tcPr>
          <w:p>
            <w:r>
              <w:t>6.4 Tax reporting (1099 vs K-1)</w:t>
            </w:r>
          </w:p>
        </w:tc>
        <w:tc>
          <w:tcPr>
            <w:tcW w:type="dxa" w:w="3600"/>
          </w:tcPr>
          <w:p>
            <w:r>
              <w:t>Schedule K-1</w:t>
            </w:r>
          </w:p>
        </w:tc>
        <w:tc>
          <w:tcPr>
            <w:tcW w:type="dxa" w:w="2880"/>
          </w:tcPr>
          <w:p>
            <w:r>
              <w:t>extracted-unverified</w:t>
            </w:r>
          </w:p>
        </w:tc>
      </w:tr>
    </w:tbl>
    <w:p>
      <w:pPr>
        <w:pStyle w:val="Heading1"/>
      </w:pPr>
      <w:r>
        <w:t>Exhibit D. Peer cohort placement</w:t>
      </w:r>
    </w:p>
    <w:p>
      <w:r>
        <w:t>Cohort Evergreen private equity ('40-Act funds + '34-Act conglomerate) (n=5).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