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Designated Investment Alternative Evaluation: Decision Memo</w:t>
      </w:r>
    </w:p>
    <w:p>
      <w:r>
        <w:rPr>
          <w:b/>
        </w:rPr>
        <w:t>Plan: US casual-dining restaurant group 401(k) plan (~$1.6B, FL)</w:t>
        <w:br/>
      </w:r>
      <w:r>
        <w:t>Product: KKR Private Equity Conglomerate LLC (non-traded '34 Act reporting company, CIK 1957845)</w:t>
        <w:br/>
      </w:r>
      <w:r>
        <w:t>Date: 2026-09-04    Status: DRAFT (demo build). Cells marked extracted-unverified pend independent verification.</w:t>
      </w:r>
    </w:p>
    <w:p>
      <w:pPr>
        <w:pStyle w:val="Heading1"/>
      </w:pPr>
      <w:r>
        <w:t>Regulatory basis</w:t>
      </w:r>
    </w:p>
    <w:p>
      <w:r>
        <w:t>U.S. Department of Labor, Employee Benefits Security Administration, proposed rule Fiduciary Duties in Selecting Designated Investment Alternatives, 91 FR 16088 (Mar. 31, 2026), RIN 1210-AC38, proposed 29 CFR 2550.404a-6. Federal Register document 2026-06178, https://www.federalregister.gov/documents/2026/03/31/2026-06178/fiduciary-duties-in-selecting-designated-investment-alternatives. Docket EBSA-2026-0166, https://www.regulations.gov/docket/EBSA-2026-0166.</w:t>
      </w:r>
    </w:p>
    <w:p>
      <w:r>
        <w:t>This memo documents an evaluation of the product below as a candidate designated investment alternative for the plan named above, structured on the six factors of the proposed rule, paragraphs (g) to (l) of proposed 29 CFR 2550.404a-6: performance (g), fees and expenses (h), liquidity (i), valuation (j), performance benchmarks (k), complexity (l). The regulation is cited, not paraphrased. This memo and its underlying evidence files are the record of the evaluation.</w:t>
      </w:r>
    </w:p>
    <w:p>
      <w:r>
        <w:t>The benchmark section documents the selection AND the rejections: every candidate considered, its score, and the true reason it was or was not chosen. Case law is addressed in its own section below, from cell 5.7 only.</w:t>
      </w:r>
    </w:p>
    <w:p>
      <w:r>
        <w:t>Factor mapping basis: factor order per the 2026-09-03 audit's check of 91 FR 16088, paragraphs (g) to (l) of proposed 29 CFR 2550.404a-6, verbatim text not in this build. The verbatim text of paragraphs (g) to (l) is not yet in this build. The Federal Register document is linked above. Cells 6.6 and 6.8 are advisor-completed under paragraph (l).</w:t>
      </w:r>
    </w:p>
    <w:p>
      <w:pPr>
        <w:pStyle w:val="Heading1"/>
      </w:pPr>
      <w:r>
        <w:t>Six-factor findings</w:t>
      </w:r>
    </w:p>
    <w:p>
      <w:r>
        <w:t>Per factor: the typed facts the engines read (each cites its cell), then the complete first sentence of every evidenced cell with its status, then the cells marked not applicable with the reason. The full sourced text, quote and document of every cell is in the evidence ledger and on the site's Evaluation view.</w:t>
      </w:r>
    </w:p>
    <w:tbl>
      <w:tblPr>
        <w:tblStyle w:val="TableGrid"/>
        <w:tblW w:type="auto" w:w="0"/>
        <w:tblLook w:firstColumn="1" w:firstRow="1" w:lastColumn="0" w:lastRow="0" w:noHBand="0" w:noVBand="1" w:val="04A0"/>
      </w:tblPr>
      <w:tblGrid>
        <w:gridCol w:w="4680"/>
        <w:gridCol w:w="4680"/>
      </w:tblGrid>
      <w:tr>
        <w:tc>
          <w:tcPr>
            <w:tcW w:type="dxa" w:w="1728"/>
          </w:tcPr>
          <w:p>
            <w:r>
              <w:t>Factor</w:t>
            </w:r>
          </w:p>
        </w:tc>
        <w:tc>
          <w:tcPr>
            <w:tcW w:type="dxa" w:w="7632"/>
          </w:tcPr>
          <w:p>
            <w:r>
              <w:t>Findings (cell, status, first sentence)</w:t>
            </w:r>
          </w:p>
        </w:tc>
      </w:tr>
      <w:tr>
        <w:tc>
          <w:tcPr>
            <w:tcW w:type="dxa" w:w="1728"/>
          </w:tcPr>
          <w:p>
            <w:r>
              <w:t>1. Performance (g)</w:t>
            </w:r>
          </w:p>
        </w:tc>
        <w:tc>
          <w:tcPr>
            <w:tcW w:type="dxa" w:w="7632"/>
          </w:tcPr>
          <w:p>
            <w:r>
              <w:t>Typed facts: 1.3 3.19% expense ratio, GAAP total operating expenses including the 2.75% performance participation, not a 1940-Act ratio (FY2025, Class I). 1.8 KS-PME 0.90 vs PSP. 1.11 inception 2023-08-01, 2.4 years.</w:t>
            </w:r>
          </w:p>
          <w:p>
            <w:r>
              <w:t>1.1 Net total return series (extracted-unverified): Annual NAV per share, Class I (Note 10. Financial Highlights): $25.88 at 12/31/2023 (issued at $25.47 from 9/1/2023 inception; period 8/1-12/31/2023), $28.94 at 12/31/2024, $33.61 at 12/31/2025.</w:t>
            </w:r>
          </w:p>
          <w:p>
            <w:r>
              <w:t>1.2 Trailing &amp; calendar-year returns (extracted-unverified): Transactional NAV Total Returns (FY2025 10-K, MD&amp;A table): Year ended 12/31/2025 - Class D 14.80% / I 16.81% / S 9.55% / U 15.78% / R-D 16.49% / R-I 16.79% / R-U 15.79%.</w:t>
            </w:r>
          </w:p>
          <w:p>
            <w:r>
              <w:t>1.3 Gross vs net spread (extracted-unverified): No 1940-Act-style gross/net fee table exists (non-'40-Act 10-K filer).</w:t>
            </w:r>
          </w:p>
          <w:p>
            <w:r>
              <w:t>1.4 Distribution history &amp; composition (extracted-unverified): No distributions ever declared or paid: Company did not declare or pay any distributions from inception (initial capitalization December 6, 2022) through December 31, 2025; financial-highlights footnote (9) likewise states no distributions declared or paid during the years ended December 31, 2025, 2024 and 2023.</w:t>
            </w:r>
          </w:p>
          <w:p>
            <w:r>
              <w:t>1.8 Risk-adjusted metrics (PME etc) (computed): Primary Listed private equity investable proxy (PSP): KS-PME 0.8964 and Direct Alpha -4.58%/yr over 2023-09-01 to 2025-12-31 (series comparison), fund growth 1.3285x vs proxy growth 1.4819x on two-point flows (one contribution at the window start, one valuation at the end), fund return source: disclosed annualized figure (cell 1.2).</w:t>
            </w:r>
          </w:p>
          <w:p>
            <w:r>
              <w:t>1.11 Track record &amp; manager tenure (extracted-unverified): Company formed / initially capitalized December 6, 2022; Form 10 registration statement automatically effective June 13, 2023; commenced principal operations August 1, 2023.</w:t>
            </w:r>
          </w:p>
          <w:p>
            <w:r>
              <w:t>Not applicable: 1.5 no underlying JV/deal-level performance is printed - zero hits for IRR, MOIC or 'multiple of invested' in the FY2025 10-K; the Condensed Consolidated Schedule of Investments discloses each portfolio company only at estimated fair value and % of net assets (see 3.4/4.2), and JV/portfolio-company return reporting is KKR private LP-only reporting. 1.6 sub-annual return series not free-public for this wrapper (annual filing cadence; fact sheets attestation-gated). 1.7 sub-annual return series not free-public for this wrapper (annual filing cadence; fact sheets attestation-gated). 1.9 the Company commenced principal operations August 1, 2023, so its track record spans no major stress window (2008 GFC, March 2020 COVID drawdown, 2022 rate shock) - stress-window performance cannot exist for this vehicle. 1.10 not exchange-listed.</w:t>
            </w:r>
          </w:p>
        </w:tc>
      </w:tr>
      <w:tr>
        <w:tc>
          <w:tcPr>
            <w:tcW w:type="dxa" w:w="1728"/>
          </w:tcPr>
          <w:p>
            <w:r>
              <w:t>2. Fees (h)</w:t>
            </w:r>
          </w:p>
        </w:tc>
        <w:tc>
          <w:tcPr>
            <w:tcW w:type="dxa" w:w="7632"/>
          </w:tcPr>
          <w:p>
            <w:r>
              <w:t>Typed facts: 2.1 1.25% on NAV. 2.2 incentive fee: 15% / 5% hurdle. 2.7 early repurchase fee: 5% &lt; 24 months.</w:t>
            </w:r>
          </w:p>
          <w:p>
            <w:r>
              <w:t>2.1 Management fee (rate AND base) (extracted-unverified): 1.25% per annum of month-end NAV (Investor Shares: S/D/I/U et al.), paid monthly.</w:t>
            </w:r>
          </w:p>
          <w:p>
            <w:r>
              <w:t>2.2 Incentive fee terms (extracted-unverified): Performance Participation Allocation: 15.0% of Total Return on Investor Shares, subject to 5.0% annual Hurdle + High Water Mark + 100% Catch-Up.</w:t>
            </w:r>
          </w:p>
          <w:p>
            <w:r>
              <w:t>2.3 Total expense ratio &amp; waivers (partial): PARTIAL: Expense Limitation Agreement capped Specified Expenses at 0.60% 'through and including June 30, 2025' - expiry is itself an evaluative datum.</w:t>
            </w:r>
          </w:p>
          <w:p>
            <w:r>
              <w:t>2.4 AFFE (partial): PARTIAL: No 'Acquired Fund Fees and Expenses' line exists — K-PEC is a non-'40-Act 10-K filer with no 1940-Act-style fee table anywhere in the filing.</w:t>
            </w:r>
          </w:p>
          <w:p>
            <w:r>
              <w:t>2.5 Underlying GP economics (partial): No numeric underlying-fee ranges are printed anywhere in the FY2025 10-K (no '1% to 2%'/'10% to 20%'-style table exists; the fund owns portfolio companies via JVs, not underlying GP funds).</w:t>
            </w:r>
          </w:p>
          <w:p>
            <w:r>
              <w:t>2.6 Loads &amp; servicing fees (extracted-unverified): Sales loads: Class S Shares subject to maximum sales load up to 3.00% of offering price plus dealer-manager fee of 0.50% (certain broker-dealers may charge dealer-manager fee up to 1.50%, with sales load + dealer-manager fee capped at 3.50%).</w:t>
            </w:r>
          </w:p>
          <w:p>
            <w:r>
              <w:t>2.7 Early repurchase fee (extracted-unverified): Early Repurchase Fee: 5.0% of the NAV of Investor Shares repurchased within 24 months of the original issue date.</w:t>
            </w:r>
          </w:p>
          <w:p>
            <w:r>
              <w:t>2.9 Fee peer percentile (computed): Cohort placement (evergreen private equity cohort): mgmt fee: 30th percentile of cohort (n=5), below the median of 1.4 | expense ratio (bases differ, see notes): 50th percentile of cohort (n=5), at the median of 3.19 | repurchase cap: 50th percentile of cohort (n=5), at the median of 5.</w:t>
            </w:r>
          </w:p>
          <w:p>
            <w:r>
              <w:t>Not applicable: 2.8 CIT only. 2.10 requires the plan committee's own value-for-fees determination - workflow output, not public product data (inputs live in cells 2.1-2.9).</w:t>
            </w:r>
          </w:p>
        </w:tc>
      </w:tr>
      <w:tr>
        <w:tc>
          <w:tcPr>
            <w:tcW w:type="dxa" w:w="1728"/>
          </w:tcPr>
          <w:p>
            <w:r>
              <w:t>3. Liquidity (i)</w:t>
            </w:r>
          </w:p>
        </w:tc>
        <w:tc>
          <w:tcPr>
            <w:tcW w:type="dxa" w:w="7632"/>
          </w:tcPr>
          <w:p>
            <w:r>
              <w:t>Typed facts: 3.1 quarterly dealing, 5% cap per quarter on aggregate NAV. 3.3 no gating identified in the filings on record. 3.9 structural verdict conditional, plan-independent.</w:t>
            </w:r>
          </w:p>
          <w:p>
            <w:r>
              <w:t>3.1 Wrapper liquidity terms (extracted-unverified): Quarterly share repurchase plan: limited to 5.0% of aggregate NAV attributable to Investor Share classes per calendar quarter (measured on avg aggregate NAV of the immediately preceding quarter).</w:t>
            </w:r>
          </w:p>
          <w:p>
            <w:r>
              <w:t>3.2 Repurchase mechanics (extracted-unverified): Quarterly repurchase offers under the share repurchase plan; all limits, prices and fees calculated on Transactional NAV.</w:t>
            </w:r>
          </w:p>
          <w:p>
            <w:r>
              <w:t>3.3 Repurchase history (extracted-unverified): FY2025 plan repurchases by class (MD&amp;A - Share Repurchases): 247,476 Class R-I @ $31.84 avg; 576,591 Class R-U @ $30.97; 12,620 Class U @ $31.77; 12,369 Class I @ $32.64; 819 Class D @ $32.57; 20,516 Class R-D @ $32.57.</w:t>
            </w:r>
          </w:p>
          <w:p>
            <w:r>
              <w:t>3.4 Portfolio liquidity profile (extracted-unverified): As of 12/31/2025 ($ thousands): fair value hierarchy — portfolio companies Level I $23,278, Level II $0, Level III $8,980,760, NAV practical expedient $5,411 (portfolio companies total $9,009,449); money market funds (Level I) $963,528; FX forwards Level II +$27,607 / -$5,177; total investments $9,995,407 (vs total $4,549,771 with Level III $3,918,519 at 12/31/2024).</w:t>
            </w:r>
          </w:p>
          <w:p>
            <w:r>
              <w:t>3.6 Fund leverage &amp; facilities (extracted-unverified): Revolving Credit Agreement (Note 6, $ thousands): entered 12/23/2024 by indirect-subsidiary Borrowers with Sumitomo Mitsui Banking Corporation as joint lead arranger/administrative agent and affiliate KKR Capital Markets LLC as joint lead arranger.</w:t>
            </w:r>
          </w:p>
          <w:p>
            <w:r>
              <w:t>3.7 Plan participant liquidity demand (computed): Plan-side demand profile (Form 5500 PY2024): 1,847 separated-with-balances = 36.1% of 5,120 accounts - the near-term liquidity tail; 3,281 active; zero retirees in pay status; 404(c) fully participant-directed.</w:t>
            </w:r>
          </w:p>
          <w:p>
            <w:r>
              <w:t>3.8 Redemption stress test (computed): ILLUSTRATIVE redemption stress test (computed for all four reference plans): tail turnover x2, active turnover x1.5 vs base scenario, default sliders allocation 5% of plan, tail turnover 20%/yr, active turnover 5%/yr.</w:t>
            </w:r>
          </w:p>
          <w:p>
            <w:r>
              <w:t>3.9 Product-to-plan liquidity match (computed): Structural liquidity verdict CONDITIONAL (typed facts, cells 3.1, 3.3, 2.7, plan-independent).</w:t>
            </w:r>
          </w:p>
          <w:p>
            <w:r>
              <w:t>Not applicable: 3.5 CIT only.</w:t>
            </w:r>
          </w:p>
        </w:tc>
      </w:tr>
      <w:tr>
        <w:tc>
          <w:tcPr>
            <w:tcW w:type="dxa" w:w="1728"/>
          </w:tcPr>
          <w:p>
            <w:r>
              <w:t>4. Valuation (j)</w:t>
            </w:r>
          </w:p>
        </w:tc>
        <w:tc>
          <w:tcPr>
            <w:tcW w:type="dxa" w:w="7632"/>
          </w:tcPr>
          <w:p>
            <w:r>
              <w:t>Typed facts: 4.5 Deloitte &amp; Touche LLP (Big 4).</w:t>
            </w:r>
          </w:p>
          <w:p>
            <w:r>
              <w:t>4.1 Valuation policy &amp; NAV frequency (extracted-unverified): NAV frequency: monthly — 'The Manager determines the NAV of our Shares monthly' (Manager = KKR DAV Manager LLC).</w:t>
            </w:r>
          </w:p>
          <w:p>
            <w:r>
              <w:t>4.2 Fair-value hierarchy (L1/2/3) (extracted-unverified): Fair value hierarchy at 12/31/2025 ($ thousands, Note 4): Portfolio companies - Level I $23,278 / Level II $0 / Level III $8,980,760 / NAV practical expedient $5,411 = $9,009,449 total; FX-forward unrealized appreciation - Level II $27,607; FX-forward unrealized depreciation - Level II $(5,177); Money market funds - Level I $963,528.</w:t>
            </w:r>
          </w:p>
          <w:p>
            <w:r>
              <w:t>4.3 Independent valuation agent (extracted-unverified): Independent valuation involvement disclosed but NO firm is named anywhere in the 10-K or 10-Q: for assets without a reliable readily available market price, the Manager 'engages one or more independent valuation firms to provide positive assurance regarding the reasonableness of such valuations as of the relevant measurement date', with the Manager remaining ultimately responsible for fair value determinations.</w:t>
            </w:r>
          </w:p>
          <w:p>
            <w:r>
              <w:t>4.4 Methodology by asset type (extracted-unverified): Level III portfolio companies ($8,980,760k at 12/31/2025) are valued via a weighted combination of market comparables, discounted cash flow, and transaction price/other.</w:t>
            </w:r>
          </w:p>
          <w:p>
            <w:r>
              <w:t>4.5 Auditor &amp; opinion (extracted-unverified): Deloitte &amp; Touche LLP, San Francisco; auditor since 2022 (Big-4).</w:t>
            </w:r>
          </w:p>
          <w:p>
            <w:r>
              <w:t>4.6 NAV restatement history (extracted-unverified): None identified: searched stripped text of both on-disk docs — 10-K (FY2025, filed 2026-03-26) and 10-Q (Q1 2026, filed 2026-05-13) — for 'restat' (16 hits 10-K / 4 hits 10-Q), 'error correction' (5 hits 10-K / 0 10-Q) and 'reprocess' (0 hits).</w:t>
            </w:r>
          </w:p>
          <w:p>
            <w:r>
              <w:t>Not applicable: 4.7 not exchange-listed. 4.8 sub-annual return series not free-public for this wrapper (annual filing cadence; fact sheets attestation-gated). 4.9 CIT only.</w:t>
            </w:r>
          </w:p>
        </w:tc>
      </w:tr>
      <w:tr>
        <w:tc>
          <w:tcPr>
            <w:tcW w:type="dxa" w:w="1728"/>
          </w:tcPr>
          <w:p>
            <w:r>
              <w:t>5. Performance Benchmarks (k)</w:t>
            </w:r>
          </w:p>
        </w:tc>
        <w:tc>
          <w:tcPr>
            <w:tcW w:type="dxa" w:w="7632"/>
          </w:tcPr>
          <w:p>
            <w:r>
              <w:t>Typed facts: 5.3 PSP selected, 9/12.</w:t>
            </w:r>
          </w:p>
          <w:p>
            <w:r>
              <w:t>5.1 Self-declared benchmark (extracted-unverified): DOCUMENTED ABSENCE: the Company self-declares NO performance benchmark anywhere in the FY2025 10-K.</w:t>
            </w:r>
          </w:p>
          <w:p>
            <w:r>
              <w:t>5.3 Alt asset-class indices (computed): Benchmark candidates evaluated by the engine (Tark benchmark rubric, 12 points, threshold 7 of 12, strategy gate below 2 of 3 ineligible).</w:t>
            </w:r>
          </w:p>
          <w:p>
            <w:r>
              <w:t>5.4 Peer universe &amp; returns (computed): Peer cohort: evergreen private equity cohort (n=5: Hamilton Lane Private Assets Fund, StepStone Private Markets, KKR Private Equity Conglomerate LLC, Ares Private Markets Fund, AMG Pantheon Fund, LLC).</w:t>
            </w:r>
          </w:p>
          <w:p>
            <w:r>
              <w:t>5.5 PME / Direct Alpha inputs (computed): PME inputs (computed, public market proxy Listed private equity investable proxy (PSP), primary slot): window 2023-09-01 to 2025-12-31 (series comparison).</w:t>
            </w:r>
          </w:p>
          <w:p>
            <w:r>
              <w:t>5.6 Benchmark suitability memo (computed): Benchmark suitability (Tark benchmark rubric, 12 points).</w:t>
            </w:r>
          </w:p>
          <w:p>
            <w:r>
              <w:t>5.7 Case-law tracker (partial): Anderson v. Intel Corp. Investment Policy Committee, No. 25-498 (U.S.).</w:t>
            </w:r>
          </w:p>
        </w:tc>
      </w:tr>
      <w:tr>
        <w:tc>
          <w:tcPr>
            <w:tcW w:type="dxa" w:w="1728"/>
          </w:tcPr>
          <w:p>
            <w:r>
              <w:t>6. Complexity (l)</w:t>
            </w:r>
          </w:p>
        </w:tc>
        <w:tc>
          <w:tcPr>
            <w:tcW w:type="dxa" w:w="7632"/>
          </w:tcPr>
          <w:p>
            <w:r>
              <w:t>Typed facts: 6.1 non-traded LLC ('34 Act). 6.4 Schedule K-1.</w:t>
            </w:r>
          </w:p>
          <w:p>
            <w:r>
              <w:t>6.1 Structure map (extracted-unverified): KKR Private Equity Conglomerate LLC ('K-PEC'), Delaware limited liability company formed December 6, 2022; governed by Sixth Amended and Restated LLC Agreement dated December 4, 2024; operates so it is NOT an 'investment company' under the Investment Company Act (no exemptive order — the word 'exemptive' has zero hits) and so it qualifies as a partnership for U.S. federal income tax purposes.</w:t>
            </w:r>
          </w:p>
          <w:p>
            <w:r>
              <w:t>6.2 Strategy &amp; instrument complexity (extracted-unverified): Strategy: private equity conglomerate — acquire, own and control portfolio companies via Joint Ventures with KKR Vehicles (Company typically GP/co-GP; majority of JVs majority-own or primarily control portfolio companies); six business lines: Business &amp; Financial Services; Consumer &amp; Retail; Healthcare; Impact; Industrials; Technology, Media &amp; Telecommunications.</w:t>
            </w:r>
          </w:p>
          <w:p>
            <w:r>
              <w:t>6.3 Conflicts &amp; affiliated transactions (extracted-unverified): Item 13 'Potential Conflicts of Interest' is extensive (KKR Group multi-role conflicts, allocation, Service Providers, fee offsets).</w:t>
            </w:r>
          </w:p>
          <w:p>
            <w:r>
              <w:t>6.4 Tax reporting (1099 vs K-1) (extracted-unverified): ISSUES SCHEDULE K-1s (partnership taxation): K-1 information provided ~75 days after calendar year-end, and may be delayed.</w:t>
            </w:r>
          </w:p>
          <w:p>
            <w:r>
              <w:t>6.5 Service-provider web (extracted-unverified): Custodian: The Bank of New York Mellon (Custody Agreement dated August 1, 2023 with the Company, K-PEC Holdings LLC and K-PEC HedgeCo LLC).</w:t>
            </w:r>
          </w:p>
          <w:p>
            <w:r>
              <w:t>Not applicable: 6.6 requires plan-specific recordkeeper/trading integration facts - workflow cell completed per plan engagement, not public product data. 6.7 requires plan-committee participant-communication assessment - workflow cell; product-side inputs already evidenced in 6.1/6.2/6.4. 6.8 workflow, not data.</w:t>
            </w:r>
          </w:p>
        </w:tc>
      </w:tr>
    </w:tbl>
    <w:p>
      <w:pPr>
        <w:pStyle w:val="Heading1"/>
      </w:pPr>
      <w:r>
        <w:t>Benchmark selection and justification</w:t>
      </w:r>
    </w:p>
    <w:p>
      <w:pPr>
        <w:pStyle w:val="Heading2"/>
      </w:pPr>
      <w:r>
        <w:t>Primary: Listed private equity investable proxy (PSP) (score 9/12)</w:t>
      </w:r>
    </w:p>
    <w:p>
      <w:r>
        <w:t>Window 2023-09-01 to 2025-12-31: fund 12.94%/yr (disclosed annualized figure (cell 1.2)) vs public proxy 18.36%/yr, KS-PME 0.8964, Direct Alpha -4.58%/yr. Disclosure: PME and alpha computed on appraisal-lagged NAVs are window-sensitive and can be smoothing-flattered. Conclusions should be read with the methodology's window-sensitivity analysis. Low confidence: 2.33-year window, shorter than 3 years.</w:t>
      </w:r>
    </w:p>
    <w:p>
      <w:r>
        <w:t>Two-point comparison: one contribution at the window start and one valuation at the end. Direct Alpha is the annualized form of the same two flows.</w:t>
      </w:r>
    </w:p>
    <w:p>
      <w:pPr>
        <w:pStyle w:val="ListBullet"/>
      </w:pPr>
      <w:r>
        <w:t>strategy_match 2/3: the public-market version of the asset class (listed private equity for private equity conglomerate)</w:t>
      </w:r>
    </w:p>
    <w:p>
      <w:pPr>
        <w:pStyle w:val="ListBullet"/>
      </w:pPr>
      <w:r>
        <w:t>risk_liquidity_match 1/3: daily-liquid market proxy vs a semi-liquid NAV fund, vol and liquidity regimes differ</w:t>
      </w:r>
    </w:p>
    <w:p>
      <w:pPr>
        <w:pStyle w:val="ListBullet"/>
      </w:pPr>
      <w:r>
        <w:t>investability 2/2: computable on held data (daily series)</w:t>
      </w:r>
    </w:p>
    <w:p>
      <w:pPr>
        <w:pStyle w:val="ListBullet"/>
      </w:pPr>
      <w:r>
        <w:t>data_quality 2/2: daily series held</w:t>
      </w:r>
    </w:p>
    <w:p>
      <w:pPr>
        <w:pStyle w:val="ListBullet"/>
      </w:pPr>
      <w:r>
        <w:t>provider_independence 2/2: provider unaffiliated with the fund (Invesco / Red Rocks): the registry affiliation map ties it to none of the fund's advisers</w:t>
      </w:r>
    </w:p>
    <w:p>
      <w:pPr>
        <w:pStyle w:val="Heading2"/>
      </w:pPr>
      <w:r>
        <w:t>Secondary: Cambridge Associates US PE benchmark (score 7/12)</w:t>
      </w:r>
    </w:p>
    <w:p>
      <w:pPr>
        <w:pStyle w:val="ListBullet"/>
      </w:pPr>
      <w:r>
        <w:t>strategy_match 3/3: a private-market index of private equity for a private equity conglomerate fund</w:t>
      </w:r>
    </w:p>
    <w:p>
      <w:pPr>
        <w:pStyle w:val="ListBullet"/>
      </w:pPr>
      <w:r>
        <w:t>risk_liquidity_match 2/3: NAV-class series, quarterly observations vs the fund's annual return data and an index, not a fund set, so leverage regime is not comparable</w:t>
      </w:r>
    </w:p>
    <w:p>
      <w:pPr>
        <w:pStyle w:val="ListBullet"/>
      </w:pPr>
      <w:r>
        <w:t>investability 0/2: licensed data not held (no subscription), candidate can be cited, not computed</w:t>
      </w:r>
    </w:p>
    <w:p>
      <w:pPr>
        <w:pStyle w:val="ListBullet"/>
      </w:pPr>
      <w:r>
        <w:t>data_quality 0/2: cited, not computed</w:t>
      </w:r>
    </w:p>
    <w:p>
      <w:pPr>
        <w:pStyle w:val="ListBullet"/>
      </w:pPr>
      <w:r>
        <w:t>provider_independence 2/2: provider unaffiliated with the fund (Cambridge Associates): the registry affiliation map ties it to none of the fund's advisers</w:t>
      </w:r>
    </w:p>
    <w:p>
      <w:pPr>
        <w:pStyle w:val="Heading2"/>
      </w:pPr>
      <w:r>
        <w:t>Rejection log (candidates considered and not selected)</w:t>
      </w:r>
    </w:p>
    <w:tbl>
      <w:tblPr>
        <w:tblStyle w:val="TableGrid"/>
        <w:tblW w:type="auto" w:w="0"/>
        <w:tblLook w:firstColumn="1" w:firstRow="1" w:lastColumn="0" w:lastRow="0" w:noHBand="0" w:noVBand="1" w:val="04A0"/>
      </w:tblPr>
      <w:tblGrid>
        <w:gridCol w:w="3120"/>
        <w:gridCol w:w="3120"/>
        <w:gridCol w:w="3120"/>
      </w:tblGrid>
      <w:tr>
        <w:tc>
          <w:tcPr>
            <w:tcW w:type="dxa" w:w="3456"/>
          </w:tcPr>
          <w:p>
            <w:r>
              <w:t>Candidate</w:t>
            </w:r>
          </w:p>
        </w:tc>
        <w:tc>
          <w:tcPr>
            <w:tcW w:type="dxa" w:w="1152"/>
          </w:tcPr>
          <w:p>
            <w:r>
              <w:t>Score</w:t>
            </w:r>
          </w:p>
        </w:tc>
        <w:tc>
          <w:tcPr>
            <w:tcW w:type="dxa" w:w="4752"/>
          </w:tcPr>
          <w:p>
            <w:r>
              <w:t>Reason</w:t>
            </w:r>
          </w:p>
        </w:tc>
      </w:tr>
      <w:tr>
        <w:tc>
          <w:tcPr>
            <w:tcW w:type="dxa" w:w="3456"/>
          </w:tcPr>
          <w:p>
            <w:r>
              <w:t>MSCI World investable proxy (URTH)</w:t>
            </w:r>
          </w:p>
        </w:tc>
        <w:tc>
          <w:tcPr>
            <w:tcW w:type="dxa" w:w="1152"/>
          </w:tcPr>
          <w:p>
            <w:r>
              <w:t>8/12</w:t>
            </w:r>
          </w:p>
        </w:tc>
        <w:tc>
          <w:tcPr>
            <w:tcW w:type="dxa" w:w="4752"/>
          </w:tcPr>
          <w:p>
            <w:r>
              <w:t>rejected: strategy gate (score 8/12 but strategy_match 1/3)</w:t>
            </w:r>
          </w:p>
        </w:tc>
      </w:tr>
      <w:tr>
        <w:tc>
          <w:tcPr>
            <w:tcW w:type="dxa" w:w="3456"/>
          </w:tcPr>
          <w:p>
            <w:r>
              <w:t>Peer composite, evergreen private equity cohort without KKR Private Equity Conglomerate LLC (members: AMG Pantheon Fund, LLC, Ares Private Markets Fund, Hamilton Lane Private Assets Fund, StepStone Private Markets)</w:t>
            </w:r>
          </w:p>
        </w:tc>
        <w:tc>
          <w:tcPr>
            <w:tcW w:type="dxa" w:w="1152"/>
          </w:tcPr>
          <w:p>
            <w:r>
              <w:t>7/12</w:t>
            </w:r>
          </w:p>
        </w:tc>
        <w:tc>
          <w:tcPr>
            <w:tcW w:type="dxa" w:w="4752"/>
          </w:tcPr>
          <w:p>
            <w:r>
              <w:t>outranked: score 7/12 vs primary 9/12 and secondary 7/12 (only two slots). Retained in log as viable alternate</w:t>
            </w:r>
          </w:p>
        </w:tc>
      </w:tr>
    </w:tbl>
    <w:p>
      <w:pPr>
        <w:pStyle w:val="Heading1"/>
      </w:pPr>
      <w:r>
        <w:t>Product-to-plan liquidity match</w:t>
      </w:r>
    </w:p>
    <w:p>
      <w:r>
        <w:t>Plan: US casual-dining restaurant group 401(k) plan (~$1.6B, FL). verdict is structural (typed facts, cells 3.1, 3.3, 2.7, plan-independent). scenario_verdict is ILLUSTRATIVE (demand model against the same capacity, per plan).</w:t>
      </w:r>
    </w:p>
    <w:p>
      <w:pPr>
        <w:pStyle w:val="Heading2"/>
      </w:pPr>
      <w:r>
        <w:t>Structural verdict (typed facts, plan-independent)</w:t>
      </w:r>
    </w:p>
    <w:p>
      <w:r>
        <w:t>CONDITIONAL</w:t>
      </w:r>
    </w:p>
    <w:p>
      <w:pPr>
        <w:pStyle w:val="ListBullet"/>
      </w:pPr>
      <w:r>
        <w:t>STRUCTURAL GAP: a participant-directed 404(c) menu assumes daily pricing and daily participant liquidity, whereas this wrapper deals quarterly with a 5% cap per quarter on aggregate NAV. Direct DIA use requires a bridging structure: CIT sleeve, managed account, or TDF sleeve (cell 3.5).</w:t>
      </w:r>
    </w:p>
    <w:p>
      <w:pPr>
        <w:pStyle w:val="ListBullet"/>
      </w:pPr>
      <w:r>
        <w:t>Early repurchase economics: 5% if held &lt; 24 months (2.7). Relevant to participant-level churn (2.7).</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non-traded LLC ('34 Act)</w:t>
            </w:r>
          </w:p>
        </w:tc>
        <w:tc>
          <w:tcPr>
            <w:tcW w:type="dxa" w:w="1152"/>
          </w:tcPr>
          <w:p>
            <w:r>
              <w:t>6.1</w:t>
            </w:r>
          </w:p>
        </w:tc>
      </w:tr>
      <w:tr>
        <w:tc>
          <w:tcPr>
            <w:tcW w:type="dxa" w:w="2448"/>
          </w:tcPr>
          <w:p>
            <w:r>
              <w:t>Dealing terms</w:t>
            </w:r>
          </w:p>
        </w:tc>
        <w:tc>
          <w:tcPr>
            <w:tcW w:type="dxa" w:w="5760"/>
          </w:tcPr>
          <w:p>
            <w:r>
              <w:t>quarterly offers, 5% cap per quarter on aggregate NAV</w:t>
            </w:r>
          </w:p>
        </w:tc>
        <w:tc>
          <w:tcPr>
            <w:tcW w:type="dxa" w:w="1152"/>
          </w:tcPr>
          <w:p>
            <w:r>
              <w:t>3.1</w:t>
            </w:r>
          </w:p>
        </w:tc>
      </w:tr>
      <w:tr>
        <w:tc>
          <w:tcPr>
            <w:tcW w:type="dxa" w:w="2448"/>
          </w:tcPr>
          <w:p>
            <w:r>
              <w:t>Repurchase caps</w:t>
            </w:r>
          </w:p>
        </w:tc>
        <w:tc>
          <w:tcPr>
            <w:tcW w:type="dxa" w:w="5760"/>
          </w:tcPr>
          <w:p>
            <w:r>
              <w:t>5% per quarter, 20% per year</w:t>
            </w:r>
          </w:p>
        </w:tc>
        <w:tc>
          <w:tcPr>
            <w:tcW w:type="dxa" w:w="1152"/>
          </w:tcPr>
          <w:p>
            <w:r>
              <w:t>3.1</w:t>
            </w:r>
          </w:p>
        </w:tc>
      </w:tr>
      <w:tr>
        <w:tc>
          <w:tcPr>
            <w:tcW w:type="dxa" w:w="2448"/>
          </w:tcPr>
          <w:p>
            <w:r>
              <w:t>Annual capacity (binding cap)</w:t>
            </w:r>
          </w:p>
        </w:tc>
        <w:tc>
          <w:tcPr>
            <w:tcW w:type="dxa" w:w="5760"/>
          </w:tcPr>
          <w:p>
            <w:r>
              <w:t>20% of the position per year</w:t>
            </w:r>
          </w:p>
        </w:tc>
        <w:tc>
          <w:tcPr>
            <w:tcW w:type="dxa" w:w="1152"/>
          </w:tcPr>
          <w:p>
            <w:r>
              <w:t>3.1</w:t>
            </w:r>
          </w:p>
        </w:tc>
      </w:tr>
      <w:tr>
        <w:tc>
          <w:tcPr>
            <w:tcW w:type="dxa" w:w="2448"/>
          </w:tcPr>
          <w:p>
            <w:r>
              <w:t>Gating history</w:t>
            </w:r>
          </w:p>
        </w:tc>
        <w:tc>
          <w:tcPr>
            <w:tcW w:type="dxa" w:w="5760"/>
          </w:tcPr>
          <w:p>
            <w:r>
              <w:t>none identified in the filings on record</w:t>
            </w:r>
          </w:p>
        </w:tc>
        <w:tc>
          <w:tcPr>
            <w:tcW w:type="dxa" w:w="1152"/>
          </w:tcPr>
          <w:p>
            <w:r>
              <w:t>3.3</w:t>
            </w:r>
          </w:p>
        </w:tc>
      </w:tr>
      <w:tr>
        <w:tc>
          <w:tcPr>
            <w:tcW w:type="dxa" w:w="2448"/>
          </w:tcPr>
          <w:p>
            <w:r>
              <w:t>Repurchase program status</w:t>
            </w:r>
          </w:p>
        </w:tc>
        <w:tc>
          <w:tcPr>
            <w:tcW w:type="dxa" w:w="5760"/>
          </w:tcPr>
          <w:p>
            <w:r>
              <w:t>not typed: no suspension language in 3.1 or 3.3 as of 2025-12-31</w:t>
            </w:r>
          </w:p>
        </w:tc>
        <w:tc>
          <w:tcPr>
            <w:tcW w:type="dxa" w:w="1152"/>
          </w:tcPr>
          <w:p>
            <w:r>
              <w:t>3.1</w:t>
            </w:r>
          </w:p>
        </w:tc>
      </w:tr>
      <w:tr>
        <w:tc>
          <w:tcPr>
            <w:tcW w:type="dxa" w:w="2448"/>
          </w:tcPr>
          <w:p>
            <w:r>
              <w:t>Early repurchase fee</w:t>
            </w:r>
          </w:p>
        </w:tc>
        <w:tc>
          <w:tcPr>
            <w:tcW w:type="dxa" w:w="5760"/>
          </w:tcPr>
          <w:p>
            <w:r>
              <w:t>5% if held &lt; 24 months (2.7)</w:t>
            </w:r>
          </w:p>
        </w:tc>
        <w:tc>
          <w:tcPr>
            <w:tcW w:type="dxa" w:w="1152"/>
          </w:tcPr>
          <w:p>
            <w:r>
              <w:t>2.7</w:t>
            </w:r>
          </w:p>
        </w:tc>
      </w:tr>
    </w:tbl>
    <w:p>
      <w:pPr>
        <w:pStyle w:val="Heading2"/>
      </w:pPr>
      <w:r>
        <w:t>Scenario (ILLUSTRATIVE, this plan)</w:t>
      </w:r>
    </w:p>
    <w:p>
      <w:r>
        <w:t>Plan inputs (Form 5500): net assets $1.6B, liquidity tail 28.2% of accounts (12,176 separated participants with balances).</w:t>
      </w:r>
    </w:p>
    <w:p>
      <w:r>
        <w:t>Parameters (adjustable on the site, not facts): allocation 5% of plan = $79.3M, tail turnover 20%/yr, active turnover 5%/yr. Base demand $7.3M/yr = 9.2% of the position vs annual wrapper capacity 20%.</w:t>
      </w:r>
    </w:p>
    <w:p>
      <w:r>
        <w:t>Stressed (tail turnover x2, active turnover x1.5 vs base scenario): demand $13.2M/yr = 16.7% of the position. within wrapper capacity (16.7% vs 20%) IF offers are not prorated.</w:t>
      </w:r>
    </w:p>
    <w:p>
      <w:r>
        <w:t>Scenario verdict (ILLUSTRATIVE, this plan): CONDITIONAL.</w:t>
      </w:r>
    </w:p>
    <w:p>
      <w:pPr>
        <w:pStyle w:val="ListBullet"/>
      </w:pPr>
      <w:r>
        <w:t>Capacity: 5% per quarter on aggregate NAV: at most 20% of the position per year. This is a FUND-level cap shared by every holder, so the plan's position is served only while offers are not oversubscribed.</w:t>
      </w:r>
    </w:p>
    <w:p>
      <w:pPr>
        <w:pStyle w:val="ListBullet"/>
      </w:pPr>
      <w:r>
        <w:t>Scenario demand (illustrative): 9.2% of the position per year vs 20% annual wrapper capacity. Adequate headroom at this allocation if offers are not prorated.</w:t>
      </w:r>
    </w:p>
    <w:p>
      <w:pPr>
        <w:pStyle w:val="ListBullet"/>
      </w:pPr>
      <w:r>
        <w:t>Scenario verdict (ILLUSTRATIVE, this plan): conditional. It moves with the sliders and the plan. Proration assumption: an oversubscribed offer is filled pro rata and the unfilled remainder waits for the next window.</w:t>
      </w:r>
    </w:p>
    <w:p>
      <w:pPr>
        <w:pStyle w:val="ListBullet"/>
      </w:pPr>
      <w:r>
        <w:t>Schedule H benefit-payment lines are not yet in the plan record. Demand uses the illustrative turnover sliders only.</w:t>
      </w:r>
    </w:p>
    <w:p>
      <w:r>
        <w:t>Cited: cell 2.7, cell 3.1, cell 3.3, cell 3.7, plan: plan_restaurant_hourly.json (Form 5500, plan year 2024-05-01 to 2025-04-30).</w:t>
      </w:r>
    </w:p>
    <w:p>
      <w:pPr>
        <w:pStyle w:val="Heading1"/>
      </w:pPr>
      <w:r>
        <w:t>Peer cohort placement</w:t>
      </w:r>
    </w:p>
    <w:p>
      <w:r>
        <w:t>Evidence depth tier: FULL. Cohort: Evergreen private equity ('40-Act funds + '34-Act conglomerate) (n=5). Membership rationale: '34-Act conglomerate of controlled PE businesses. Joins under the authorized fallback (its Reg D twins have no public filings). Cross-wrapper caveats carried by the cohort caveat block.</w:t>
      </w:r>
    </w:p>
    <w:p>
      <w:r>
        <w:t>Cohort placement (evergreen private equity cohort): mgmt fee: 30th percentile of cohort (n=5), below the median of 1.4 | expense ratio (bases differ, see notes): 50th percentile of cohort (n=5), at the median of 3.19 | repurchase cap: 50th percentile of cohort (n=5), at the median of 5. Statistics and per-member values are in the cohort artifact, membership rationales in the typed facts.</w:t>
      </w:r>
    </w:p>
    <w:p>
      <w:pPr>
        <w:pStyle w:val="ListBullet"/>
      </w:pPr>
      <w:r>
        <w:t>Caveat: LEVERAGE-REGIME MIX: BDC 150% coverage and non-1940-Act wrappers allow materially more leverage than 1940-Act funds. Fee bases and return volatility are not like-for-like. [typed per product: amg_pantheon: 1940-Act asset-coverage limits, ares_pmf: 1940-Act asset-coverage limits, hl_paf: 1940-Act asset-coverage limits, kkr_kpec: no 1940-Act leverage limits (34-Act conglomerate), stepstone_spm: 1940-Act asset-coverage limits]</w:t>
      </w:r>
    </w:p>
    <w:p>
      <w:pPr>
        <w:pStyle w:val="ListBullet"/>
      </w:pPr>
      <w:r>
        <w:t>Caveat: LIQUIDITY-LAW MIX: Rule 23c-3 obligations, discretionary tenders, and repurchase plans give different worst-case exit rights. Cadence numbers alone overstate comparability. [by wrapper type: amg_pantheon: board-DISCRETIONARY tender offers (nothing compels the next one), ares_pmf: board-DISCRETIONARY tender offers (nothing compels the next one), hl_paf: board-DISCRETIONARY tender offers (nothing compels the next one), kkr_kpec: board-discretionary share repurchases, stepstone_spm: board-DISCRETIONARY tender offers (nothing compels the next one)]</w:t>
      </w:r>
    </w:p>
    <w:p>
      <w:pPr>
        <w:pStyle w:val="ListBullet"/>
      </w:pPr>
      <w:r>
        <w:t>Caveat: kkr_kpec joins under the authorized fallback: its structural twins are Reg D vehicles with no public filings (data/roster_decisions.md - 'The kkr_kpec ruling'). Cross-wrapper caveats apply.</w:t>
      </w:r>
    </w:p>
    <w:p>
      <w:r>
        <w:t>Cohort exclusion log: every candidate considered and not admitted is recorded with its reason in the roster decisions record (rendered on the site's Cohorts view). Membership is an argued judgment, not a tag.</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casual-dining restaurant group 401(k) plan (~$1.6B, FL). The six committee cells (6.6 Plan operational fit, 6.8 Fiduciary capacity self-assessment, 3.7 Plan participant liquidity demand, 2.8 CIT fee schedule, 3.5 TDF/CIT liquidity sleeve, 4.9 CIT unit valuation) remain open.</w:t>
      </w:r>
    </w:p>
    <w:p>
      <w:pPr>
        <w:pStyle w:val="Heading1"/>
      </w:pPr>
      <w:r>
        <w:t>Recommendation</w:t>
      </w:r>
    </w:p>
    <w:p>
      <w:r>
        <w:t>Structural liquidity verdict: CONDITIONAL (typed facts, plan-independent). Scenario verdict under US casual-dining restaurant group 401(k) plan (~$1.6B, FL) (ILLUSTRATIVE): CONDITIONAL.</w:t>
      </w:r>
    </w:p>
    <w:p>
      <w:r>
        <w:t>Benchmark: Listed private equity investable proxy (PSP) selected as primary at 9/12, secondary Cambridge Associates US PE benchmark at 7/12.</w:t>
      </w:r>
    </w:p>
    <w:p>
      <w:r>
        <w:t>Flags raised by the record (each restates a typed value or verdict already in the artifacts, with its source):</w:t>
      </w:r>
    </w:p>
    <w:p>
      <w:pPr>
        <w:pStyle w:val="ListBullet"/>
      </w:pPr>
      <w:r>
        <w:t>Benchmark: low confidence: 2.33-year window, shorter than 3 years (benchmark comparison)</w:t>
      </w:r>
    </w:p>
    <w:p>
      <w:pPr>
        <w:pStyle w:val="ListBullet"/>
      </w:pPr>
      <w:r>
        <w:t>Tax reporting: Schedule K-1 (cell 6.4)</w:t>
      </w:r>
    </w:p>
    <w:p>
      <w:r>
        <w:t>This memo does not decide. The fiduciary makes the decision on this record. The committee-completed cells stay the committee's to complete for its own plan before it does: 6.6 Plan operational fit (open), 6.8 Fiduciary capacity self-assessment (open), 3.7 Plan participant liquidity demand (open), 2.8 CIT fee schedule (open), 3.5 TDF/CIT liquidity sleeve (open), 4.9 CIT unit valuation (open).</w:t>
      </w:r>
    </w:p>
    <w:p>
      <w:pPr>
        <w:pStyle w:val="Heading1"/>
      </w:pPr>
      <w:r>
        <w:t>Scope</w:t>
      </w:r>
    </w:p>
    <w:p>
      <w:r>
        <w:t>This memo records the evaluation of one product as a candidate designated investment alternative for one plan, on the record as of 2026-09-04. It is a selection record. It is not a monitoring record, and nothing in it states a monitoring cadence or a later review.</w:t>
      </w:r>
    </w:p>
    <w:p>
      <w:r>
        <w:t>Every figure in it is a cited cell, a typed projection of a cited cell, or a computation from cited series. Every scenario figure is labeled ILLUSTRATIVE. Cells marked extracted-unverified were extracted by an agent and not yet verified by a person. Verbatim regulatory text is not in this build: the regulation is cited by Federal Register citation and RIN, not paraphrased.</w:t>
      </w:r>
    </w:p>
    <w:p>
      <w:pPr>
        <w:pStyle w:val="Heading1"/>
      </w:pPr>
      <w:r>
        <w:t>Case law</w:t>
      </w:r>
    </w:p>
    <w:p>
      <w:r>
        <w:t>Cell 5.7 (partial): Anderson v. Intel Corp. Investment Policy Committee, No. 25-498 (U.S.). Certiorari granted 2026-01-16 per the Supreme Court docket listing. Question presented, per the docket as relayed in search-result snippets: whether, for claims predicated on fund underperformance, pleading that an ERISA fiduciary breached the duty of prudence requires alleging a meaningful benchmark. The Ninth Circuit had required plaintiffs to identify a comparable alternative giving a sound basis for comparison, a meaningful benchmark. Argument is listed for the October 2026 term and had not been held as of 2026-09-04. No holding exists yet, and this cell draws no consequence for the evaluation. Status partial: assembled from the docket listing and search snippets, not from the source documents, which this build could not fetch.</w:t>
      </w:r>
    </w:p>
    <w:p>
      <w:r>
        <w:t>Source: 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 Extracted: Claude Code (WebSearch snippet, 2026-09-04)</w:t>
      </w:r>
    </w:p>
    <w:p>
      <w:pPr>
        <w:pStyle w:val="Heading1"/>
      </w:pPr>
      <w:r>
        <w:t>Provenance</w:t>
      </w:r>
    </w:p>
    <w:p>
      <w:r>
        <w:t>Cell status for this product, from the record's one coverage formula: structured 0, extracted-unverified 26, verified 0, computed 9, partial 4, fetched 1, n/a 14, pending 0. 40 of 40 resolvable, 0 verified, 14 n/a by wrapper.</w:t>
      </w:r>
    </w:p>
    <w:p>
      <w:r>
        <w:t>Of the 39 evidenced cells, 39 carry a source document, 39 a section, 30 a verbatim quote (computed cells carry their computation and inputs instead of a quote) and 39 an extractor. No cell is verified: no cell has been independently re-checked by a person, and verified_by is empty on every row. Cells marked extracted-unverified were extracted by an agent from the cited document. Cells marked structured come directly from machine-readable regulatory datasets with the dataset cited.</w:t>
      </w:r>
    </w:p>
    <w:p>
      <w:pPr>
        <w:pStyle w:val="Heading2"/>
      </w:pPr>
      <w:r>
        <w:t>Sources cited</w:t>
      </w:r>
    </w:p>
    <w:p>
      <w:r>
        <w:t>Each evidenced cell's source document as written in the evidence ledger, with the SEC accession and EDGAR URL resolved against the filing manifest. Where no filing reference resolves, the row says accession not on record.</w:t>
      </w:r>
    </w:p>
    <w:tbl>
      <w:tblPr>
        <w:tblStyle w:val="TableGrid"/>
        <w:tblW w:type="auto" w:w="0"/>
        <w:tblLook w:firstColumn="1" w:firstRow="1" w:lastColumn="0" w:lastRow="0" w:noHBand="0" w:noVBand="1" w:val="04A0"/>
      </w:tblPr>
      <w:tblGrid>
        <w:gridCol w:w="3120"/>
        <w:gridCol w:w="3120"/>
        <w:gridCol w:w="3120"/>
      </w:tblGrid>
      <w:tr>
        <w:tc>
          <w:tcPr>
            <w:tcW w:type="dxa" w:w="720"/>
          </w:tcPr>
          <w:p>
            <w:r>
              <w:t>Cell</w:t>
            </w:r>
          </w:p>
        </w:tc>
        <w:tc>
          <w:tcPr>
            <w:tcW w:type="dxa" w:w="3456"/>
          </w:tcPr>
          <w:p>
            <w:r>
              <w:t>Source as written</w:t>
            </w:r>
          </w:p>
        </w:tc>
        <w:tc>
          <w:tcPr>
            <w:tcW w:type="dxa" w:w="5184"/>
          </w:tcPr>
          <w:p>
            <w:r>
              <w:t>Accession and EDGAR URL</w:t>
            </w:r>
          </w:p>
        </w:tc>
      </w:tr>
      <w:tr>
        <w:tc>
          <w:tcPr>
            <w:tcW w:type="dxa" w:w="720"/>
          </w:tcPr>
          <w:p>
            <w:r>
              <w:t>1.1</w:t>
            </w:r>
          </w:p>
        </w:tc>
        <w:tc>
          <w:tcPr>
            <w:tcW w:type="dxa" w:w="3456"/>
          </w:tcPr>
          <w:p>
            <w:r>
              <w:t>Form 10-K (FY2025), filed 2026-03-26</w:t>
            </w:r>
          </w:p>
        </w:tc>
        <w:tc>
          <w:tcPr>
            <w:tcW w:type="dxa" w:w="5184"/>
          </w:tcPr>
          <w:p>
            <w:r>
              <w:t>10-K 2026-03-26 accession 0001957845-26-000029 https://www.sec.gov/Archives/edgar/data/1957845/000195784526000029/kkr-20251231.htm</w:t>
            </w:r>
          </w:p>
        </w:tc>
      </w:tr>
      <w:tr>
        <w:tc>
          <w:tcPr>
            <w:tcW w:type="dxa" w:w="720"/>
          </w:tcPr>
          <w:p>
            <w:r>
              <w:t>1.2</w:t>
            </w:r>
          </w:p>
        </w:tc>
        <w:tc>
          <w:tcPr>
            <w:tcW w:type="dxa" w:w="3456"/>
          </w:tcPr>
          <w:p>
            <w:r>
              <w:t>10-K 2026-03-26 (FY2025)</w:t>
            </w:r>
          </w:p>
        </w:tc>
        <w:tc>
          <w:tcPr>
            <w:tcW w:type="dxa" w:w="5184"/>
          </w:tcPr>
          <w:p>
            <w:r>
              <w:t>10-K 2026-03-26 accession 0001957845-26-000029 https://www.sec.gov/Archives/edgar/data/1957845/000195784526000029/kkr-20251231.htm</w:t>
            </w:r>
          </w:p>
        </w:tc>
      </w:tr>
      <w:tr>
        <w:tc>
          <w:tcPr>
            <w:tcW w:type="dxa" w:w="720"/>
          </w:tcPr>
          <w:p>
            <w:r>
              <w:t>1.3</w:t>
            </w:r>
          </w:p>
        </w:tc>
        <w:tc>
          <w:tcPr>
            <w:tcW w:type="dxa" w:w="3456"/>
          </w:tcPr>
          <w:p>
            <w:r>
              <w:t>Form 10-K (FY2025), filed 2026-03-26</w:t>
            </w:r>
          </w:p>
        </w:tc>
        <w:tc>
          <w:tcPr>
            <w:tcW w:type="dxa" w:w="5184"/>
          </w:tcPr>
          <w:p>
            <w:r>
              <w:t>10-K 2026-03-26 accession 0001957845-26-000029 https://www.sec.gov/Archives/edgar/data/1957845/000195784526000029/kkr-20251231.htm</w:t>
            </w:r>
          </w:p>
        </w:tc>
      </w:tr>
      <w:tr>
        <w:tc>
          <w:tcPr>
            <w:tcW w:type="dxa" w:w="720"/>
          </w:tcPr>
          <w:p>
            <w:r>
              <w:t>1.4</w:t>
            </w:r>
          </w:p>
        </w:tc>
        <w:tc>
          <w:tcPr>
            <w:tcW w:type="dxa" w:w="3456"/>
          </w:tcPr>
          <w:p>
            <w:r>
              <w:t>Form 10-K (FY2025), filed 2026-03-26</w:t>
            </w:r>
          </w:p>
        </w:tc>
        <w:tc>
          <w:tcPr>
            <w:tcW w:type="dxa" w:w="5184"/>
          </w:tcPr>
          <w:p>
            <w:r>
              <w:t>10-K 2026-03-26 accession 0001957845-26-000029 https://www.sec.gov/Archives/edgar/data/1957845/000195784526000029/kkr-20251231.htm</w:t>
            </w:r>
          </w:p>
        </w:tc>
      </w:tr>
      <w:tr>
        <w:tc>
          <w:tcPr>
            <w:tcW w:type="dxa" w:w="720"/>
          </w:tcPr>
          <w:p>
            <w:r>
              <w:t>1.8</w:t>
            </w:r>
          </w:p>
        </w:tc>
        <w:tc>
          <w:tcPr>
            <w:tcW w:type="dxa" w:w="3456"/>
          </w:tcPr>
          <w:p>
            <w:r>
              <w:t>benchmark selection artifact (KKR Private Equity Conglomerate LLC)</w:t>
            </w:r>
          </w:p>
        </w:tc>
        <w:tc>
          <w:tcPr>
            <w:tcW w:type="dxa" w:w="5184"/>
          </w:tcPr>
          <w:p>
            <w:r>
              <w:t>accession not on record: no filing reference in the source field</w:t>
            </w:r>
          </w:p>
        </w:tc>
      </w:tr>
      <w:tr>
        <w:tc>
          <w:tcPr>
            <w:tcW w:type="dxa" w:w="720"/>
          </w:tcPr>
          <w:p>
            <w:r>
              <w:t>1.11</w:t>
            </w:r>
          </w:p>
        </w:tc>
        <w:tc>
          <w:tcPr>
            <w:tcW w:type="dxa" w:w="3456"/>
          </w:tcPr>
          <w:p>
            <w:r>
              <w:t>Form 10-K (FY2025), filed 2026-03-26</w:t>
            </w:r>
          </w:p>
        </w:tc>
        <w:tc>
          <w:tcPr>
            <w:tcW w:type="dxa" w:w="5184"/>
          </w:tcPr>
          <w:p>
            <w:r>
              <w:t>10-K 2026-03-26 accession 0001957845-26-000029 https://www.sec.gov/Archives/edgar/data/1957845/000195784526000029/kkr-20251231.htm</w:t>
            </w:r>
          </w:p>
        </w:tc>
      </w:tr>
      <w:tr>
        <w:tc>
          <w:tcPr>
            <w:tcW w:type="dxa" w:w="720"/>
          </w:tcPr>
          <w:p>
            <w:r>
              <w:t>2.1</w:t>
            </w:r>
          </w:p>
        </w:tc>
        <w:tc>
          <w:tcPr>
            <w:tcW w:type="dxa" w:w="3456"/>
          </w:tcPr>
          <w:p>
            <w:r>
              <w:t>10-K 2026-03-26 (FY2025)</w:t>
            </w:r>
          </w:p>
        </w:tc>
        <w:tc>
          <w:tcPr>
            <w:tcW w:type="dxa" w:w="5184"/>
          </w:tcPr>
          <w:p>
            <w:r>
              <w:t>10-K 2026-03-26 accession 0001957845-26-000029 https://www.sec.gov/Archives/edgar/data/1957845/000195784526000029/kkr-20251231.htm</w:t>
            </w:r>
          </w:p>
        </w:tc>
      </w:tr>
      <w:tr>
        <w:tc>
          <w:tcPr>
            <w:tcW w:type="dxa" w:w="720"/>
          </w:tcPr>
          <w:p>
            <w:r>
              <w:t>2.2</w:t>
            </w:r>
          </w:p>
        </w:tc>
        <w:tc>
          <w:tcPr>
            <w:tcW w:type="dxa" w:w="3456"/>
          </w:tcPr>
          <w:p>
            <w:r>
              <w:t>10-K 2026-03-26 (FY2025)</w:t>
            </w:r>
          </w:p>
        </w:tc>
        <w:tc>
          <w:tcPr>
            <w:tcW w:type="dxa" w:w="5184"/>
          </w:tcPr>
          <w:p>
            <w:r>
              <w:t>10-K 2026-03-26 accession 0001957845-26-000029 https://www.sec.gov/Archives/edgar/data/1957845/000195784526000029/kkr-20251231.htm</w:t>
            </w:r>
          </w:p>
        </w:tc>
      </w:tr>
      <w:tr>
        <w:tc>
          <w:tcPr>
            <w:tcW w:type="dxa" w:w="720"/>
          </w:tcPr>
          <w:p>
            <w:r>
              <w:t>2.3</w:t>
            </w:r>
          </w:p>
        </w:tc>
        <w:tc>
          <w:tcPr>
            <w:tcW w:type="dxa" w:w="3456"/>
          </w:tcPr>
          <w:p>
            <w:r>
              <w:t>10-K 2026-03-26 (FY2025)</w:t>
            </w:r>
          </w:p>
        </w:tc>
        <w:tc>
          <w:tcPr>
            <w:tcW w:type="dxa" w:w="5184"/>
          </w:tcPr>
          <w:p>
            <w:r>
              <w:t>10-K 2026-03-26 accession 0001957845-26-000029 https://www.sec.gov/Archives/edgar/data/1957845/000195784526000029/kkr-20251231.htm</w:t>
            </w:r>
          </w:p>
        </w:tc>
      </w:tr>
      <w:tr>
        <w:tc>
          <w:tcPr>
            <w:tcW w:type="dxa" w:w="720"/>
          </w:tcPr>
          <w:p>
            <w:r>
              <w:t>2.4</w:t>
            </w:r>
          </w:p>
        </w:tc>
        <w:tc>
          <w:tcPr>
            <w:tcW w:type="dxa" w:w="3456"/>
          </w:tcPr>
          <w:p>
            <w:r>
              <w:t>Form 10-K (FY2025), filed 2026-03-26</w:t>
            </w:r>
          </w:p>
        </w:tc>
        <w:tc>
          <w:tcPr>
            <w:tcW w:type="dxa" w:w="5184"/>
          </w:tcPr>
          <w:p>
            <w:r>
              <w:t>10-K 2026-03-26 accession 0001957845-26-000029 https://www.sec.gov/Archives/edgar/data/1957845/000195784526000029/kkr-20251231.htm</w:t>
            </w:r>
          </w:p>
        </w:tc>
      </w:tr>
      <w:tr>
        <w:tc>
          <w:tcPr>
            <w:tcW w:type="dxa" w:w="720"/>
          </w:tcPr>
          <w:p>
            <w:r>
              <w:t>2.5</w:t>
            </w:r>
          </w:p>
        </w:tc>
        <w:tc>
          <w:tcPr>
            <w:tcW w:type="dxa" w:w="3456"/>
          </w:tcPr>
          <w:p>
            <w:r>
              <w:t>Form 10-K (FY2025), filed 2026-03-26</w:t>
            </w:r>
          </w:p>
        </w:tc>
        <w:tc>
          <w:tcPr>
            <w:tcW w:type="dxa" w:w="5184"/>
          </w:tcPr>
          <w:p>
            <w:r>
              <w:t>10-K 2026-03-26 accession 0001957845-26-000029 https://www.sec.gov/Archives/edgar/data/1957845/000195784526000029/kkr-20251231.htm</w:t>
            </w:r>
          </w:p>
        </w:tc>
      </w:tr>
      <w:tr>
        <w:tc>
          <w:tcPr>
            <w:tcW w:type="dxa" w:w="720"/>
          </w:tcPr>
          <w:p>
            <w:r>
              <w:t>2.6</w:t>
            </w:r>
          </w:p>
        </w:tc>
        <w:tc>
          <w:tcPr>
            <w:tcW w:type="dxa" w:w="3456"/>
          </w:tcPr>
          <w:p>
            <w:r>
              <w:t>Form 10-K (FY2025), filed 2026-03-26</w:t>
            </w:r>
          </w:p>
        </w:tc>
        <w:tc>
          <w:tcPr>
            <w:tcW w:type="dxa" w:w="5184"/>
          </w:tcPr>
          <w:p>
            <w:r>
              <w:t>10-K 2026-03-26 accession 0001957845-26-000029 https://www.sec.gov/Archives/edgar/data/1957845/000195784526000029/kkr-20251231.htm</w:t>
            </w:r>
          </w:p>
        </w:tc>
      </w:tr>
      <w:tr>
        <w:tc>
          <w:tcPr>
            <w:tcW w:type="dxa" w:w="720"/>
          </w:tcPr>
          <w:p>
            <w:r>
              <w:t>2.7</w:t>
            </w:r>
          </w:p>
        </w:tc>
        <w:tc>
          <w:tcPr>
            <w:tcW w:type="dxa" w:w="3456"/>
          </w:tcPr>
          <w:p>
            <w:r>
              <w:t>10-K 2026-03-26 (FY2025)</w:t>
            </w:r>
          </w:p>
        </w:tc>
        <w:tc>
          <w:tcPr>
            <w:tcW w:type="dxa" w:w="5184"/>
          </w:tcPr>
          <w:p>
            <w:r>
              <w:t>10-K 2026-03-26 accession 0001957845-26-000029 https://www.sec.gov/Archives/edgar/data/1957845/000195784526000029/kkr-20251231.htm</w:t>
            </w:r>
          </w:p>
        </w:tc>
      </w:tr>
      <w:tr>
        <w:tc>
          <w:tcPr>
            <w:tcW w:type="dxa" w:w="720"/>
          </w:tcPr>
          <w:p>
            <w:r>
              <w:t>2.9</w:t>
            </w:r>
          </w:p>
        </w:tc>
        <w:tc>
          <w:tcPr>
            <w:tcW w:type="dxa" w:w="3456"/>
          </w:tcPr>
          <w:p>
            <w:r>
              <w:t>cohort artifact (evergreen private equity cohort)</w:t>
            </w:r>
          </w:p>
        </w:tc>
        <w:tc>
          <w:tcPr>
            <w:tcW w:type="dxa" w:w="5184"/>
          </w:tcPr>
          <w:p>
            <w:r>
              <w:t>accession not on record: no filing reference in the source field</w:t>
            </w:r>
          </w:p>
        </w:tc>
      </w:tr>
      <w:tr>
        <w:tc>
          <w:tcPr>
            <w:tcW w:type="dxa" w:w="720"/>
          </w:tcPr>
          <w:p>
            <w:r>
              <w:t>3.1</w:t>
            </w:r>
          </w:p>
        </w:tc>
        <w:tc>
          <w:tcPr>
            <w:tcW w:type="dxa" w:w="3456"/>
          </w:tcPr>
          <w:p>
            <w:r>
              <w:t>10-K 2026-03-26 (FY2025)</w:t>
            </w:r>
          </w:p>
        </w:tc>
        <w:tc>
          <w:tcPr>
            <w:tcW w:type="dxa" w:w="5184"/>
          </w:tcPr>
          <w:p>
            <w:r>
              <w:t>10-K 2026-03-26 accession 0001957845-26-000029 https://www.sec.gov/Archives/edgar/data/1957845/000195784526000029/kkr-20251231.htm</w:t>
            </w:r>
          </w:p>
        </w:tc>
      </w:tr>
      <w:tr>
        <w:tc>
          <w:tcPr>
            <w:tcW w:type="dxa" w:w="720"/>
          </w:tcPr>
          <w:p>
            <w:r>
              <w:t>3.2</w:t>
            </w:r>
          </w:p>
        </w:tc>
        <w:tc>
          <w:tcPr>
            <w:tcW w:type="dxa" w:w="3456"/>
          </w:tcPr>
          <w:p>
            <w:r>
              <w:t>Form 10-K (FY2025), filed 2026-03-26</w:t>
            </w:r>
          </w:p>
        </w:tc>
        <w:tc>
          <w:tcPr>
            <w:tcW w:type="dxa" w:w="5184"/>
          </w:tcPr>
          <w:p>
            <w:r>
              <w:t>10-K 2026-03-26 accession 0001957845-26-000029 https://www.sec.gov/Archives/edgar/data/1957845/000195784526000029/kkr-20251231.htm</w:t>
            </w:r>
          </w:p>
        </w:tc>
      </w:tr>
      <w:tr>
        <w:tc>
          <w:tcPr>
            <w:tcW w:type="dxa" w:w="720"/>
          </w:tcPr>
          <w:p>
            <w:r>
              <w:t>3.3</w:t>
            </w:r>
          </w:p>
        </w:tc>
        <w:tc>
          <w:tcPr>
            <w:tcW w:type="dxa" w:w="3456"/>
          </w:tcPr>
          <w:p>
            <w:r>
              <w:t>Form 10-K (FY2025), filed 2026-03-26</w:t>
            </w:r>
          </w:p>
        </w:tc>
        <w:tc>
          <w:tcPr>
            <w:tcW w:type="dxa" w:w="5184"/>
          </w:tcPr>
          <w:p>
            <w:r>
              <w:t>10-K 2026-03-26 accession 0001957845-26-000029 https://www.sec.gov/Archives/edgar/data/1957845/000195784526000029/kkr-20251231.htm</w:t>
            </w:r>
          </w:p>
        </w:tc>
      </w:tr>
      <w:tr>
        <w:tc>
          <w:tcPr>
            <w:tcW w:type="dxa" w:w="720"/>
          </w:tcPr>
          <w:p>
            <w:r>
              <w:t>3.4</w:t>
            </w:r>
          </w:p>
        </w:tc>
        <w:tc>
          <w:tcPr>
            <w:tcW w:type="dxa" w:w="3456"/>
          </w:tcPr>
          <w:p>
            <w:r>
              <w:t>Form 10-K (FY2025), filed 2026-03-26</w:t>
            </w:r>
          </w:p>
        </w:tc>
        <w:tc>
          <w:tcPr>
            <w:tcW w:type="dxa" w:w="5184"/>
          </w:tcPr>
          <w:p>
            <w:r>
              <w:t>10-K 2026-03-26 accession 0001957845-26-000029 https://www.sec.gov/Archives/edgar/data/1957845/000195784526000029/kkr-20251231.htm</w:t>
            </w:r>
          </w:p>
        </w:tc>
      </w:tr>
      <w:tr>
        <w:tc>
          <w:tcPr>
            <w:tcW w:type="dxa" w:w="720"/>
          </w:tcPr>
          <w:p>
            <w:r>
              <w:t>3.6</w:t>
            </w:r>
          </w:p>
        </w:tc>
        <w:tc>
          <w:tcPr>
            <w:tcW w:type="dxa" w:w="3456"/>
          </w:tcPr>
          <w:p>
            <w:r>
              <w:t>Form 10-K (FY2025), filed 2026-03-26</w:t>
            </w:r>
          </w:p>
        </w:tc>
        <w:tc>
          <w:tcPr>
            <w:tcW w:type="dxa" w:w="5184"/>
          </w:tcPr>
          <w:p>
            <w:r>
              <w:t>10-K 2026-03-26 accession 0001957845-26-000029 https://www.sec.gov/Archives/edgar/data/1957845/000195784526000029/kkr-20251231.htm</w:t>
            </w:r>
          </w:p>
        </w:tc>
      </w:tr>
      <w:tr>
        <w:tc>
          <w:tcPr>
            <w:tcW w:type="dxa" w:w="720"/>
          </w:tcPr>
          <w:p>
            <w:r>
              <w:t>3.7</w:t>
            </w:r>
          </w:p>
        </w:tc>
        <w:tc>
          <w:tcPr>
            <w:tcW w:type="dxa" w:w="3456"/>
          </w:tcPr>
          <w:p>
            <w:r>
              <w:t>the plan record on file</w:t>
            </w:r>
          </w:p>
        </w:tc>
        <w:tc>
          <w:tcPr>
            <w:tcW w:type="dxa" w:w="5184"/>
          </w:tcPr>
          <w:p>
            <w:r>
              <w:t>accession not on record: no filing reference in the source field</w:t>
            </w:r>
          </w:p>
        </w:tc>
      </w:tr>
      <w:tr>
        <w:tc>
          <w:tcPr>
            <w:tcW w:type="dxa" w:w="720"/>
          </w:tcPr>
          <w:p>
            <w:r>
              <w:t>3.8</w:t>
            </w:r>
          </w:p>
        </w:tc>
        <w:tc>
          <w:tcPr>
            <w:tcW w:type="dxa" w:w="3456"/>
          </w:tcPr>
          <w:p>
            <w:r>
              <w:t>liquidity match artifacts (KKR Private Equity Conglomerate LLC, four reference plans)</w:t>
            </w:r>
          </w:p>
        </w:tc>
        <w:tc>
          <w:tcPr>
            <w:tcW w:type="dxa" w:w="5184"/>
          </w:tcPr>
          <w:p>
            <w:r>
              <w:t>accession not on record: no filing reference in the source field</w:t>
            </w:r>
          </w:p>
        </w:tc>
      </w:tr>
      <w:tr>
        <w:tc>
          <w:tcPr>
            <w:tcW w:type="dxa" w:w="720"/>
          </w:tcPr>
          <w:p>
            <w:r>
              <w:t>3.9</w:t>
            </w:r>
          </w:p>
        </w:tc>
        <w:tc>
          <w:tcPr>
            <w:tcW w:type="dxa" w:w="3456"/>
          </w:tcPr>
          <w:p>
            <w:r>
              <w:t>liquidity match artifacts (KKR Private Equity Conglomerate LLC, four reference plans)</w:t>
            </w:r>
          </w:p>
        </w:tc>
        <w:tc>
          <w:tcPr>
            <w:tcW w:type="dxa" w:w="5184"/>
          </w:tcPr>
          <w:p>
            <w:r>
              <w:t>accession not on record: no filing reference in the source field</w:t>
            </w:r>
          </w:p>
        </w:tc>
      </w:tr>
      <w:tr>
        <w:tc>
          <w:tcPr>
            <w:tcW w:type="dxa" w:w="720"/>
          </w:tcPr>
          <w:p>
            <w:r>
              <w:t>4.1</w:t>
            </w:r>
          </w:p>
        </w:tc>
        <w:tc>
          <w:tcPr>
            <w:tcW w:type="dxa" w:w="3456"/>
          </w:tcPr>
          <w:p>
            <w:r>
              <w:t>Form 10-K (FY2025), filed 2026-03-26</w:t>
            </w:r>
          </w:p>
        </w:tc>
        <w:tc>
          <w:tcPr>
            <w:tcW w:type="dxa" w:w="5184"/>
          </w:tcPr>
          <w:p>
            <w:r>
              <w:t>10-K 2026-03-26 accession 0001957845-26-000029 https://www.sec.gov/Archives/edgar/data/1957845/000195784526000029/kkr-20251231.htm</w:t>
            </w:r>
          </w:p>
        </w:tc>
      </w:tr>
      <w:tr>
        <w:tc>
          <w:tcPr>
            <w:tcW w:type="dxa" w:w="720"/>
          </w:tcPr>
          <w:p>
            <w:r>
              <w:t>4.2</w:t>
            </w:r>
          </w:p>
        </w:tc>
        <w:tc>
          <w:tcPr>
            <w:tcW w:type="dxa" w:w="3456"/>
          </w:tcPr>
          <w:p>
            <w:r>
              <w:t>Form 10-K (FY2025), filed 2026-03-26</w:t>
            </w:r>
          </w:p>
        </w:tc>
        <w:tc>
          <w:tcPr>
            <w:tcW w:type="dxa" w:w="5184"/>
          </w:tcPr>
          <w:p>
            <w:r>
              <w:t>10-K 2026-03-26 accession 0001957845-26-000029 https://www.sec.gov/Archives/edgar/data/1957845/000195784526000029/kkr-20251231.htm</w:t>
            </w:r>
          </w:p>
        </w:tc>
      </w:tr>
      <w:tr>
        <w:tc>
          <w:tcPr>
            <w:tcW w:type="dxa" w:w="720"/>
          </w:tcPr>
          <w:p>
            <w:r>
              <w:t>4.3</w:t>
            </w:r>
          </w:p>
        </w:tc>
        <w:tc>
          <w:tcPr>
            <w:tcW w:type="dxa" w:w="3456"/>
          </w:tcPr>
          <w:p>
            <w:r>
              <w:t>Form 10-K (FY2025), filed 2026-03-26</w:t>
            </w:r>
          </w:p>
        </w:tc>
        <w:tc>
          <w:tcPr>
            <w:tcW w:type="dxa" w:w="5184"/>
          </w:tcPr>
          <w:p>
            <w:r>
              <w:t>10-K 2026-03-26 accession 0001957845-26-000029 https://www.sec.gov/Archives/edgar/data/1957845/000195784526000029/kkr-20251231.htm</w:t>
            </w:r>
          </w:p>
        </w:tc>
      </w:tr>
      <w:tr>
        <w:tc>
          <w:tcPr>
            <w:tcW w:type="dxa" w:w="720"/>
          </w:tcPr>
          <w:p>
            <w:r>
              <w:t>4.4</w:t>
            </w:r>
          </w:p>
        </w:tc>
        <w:tc>
          <w:tcPr>
            <w:tcW w:type="dxa" w:w="3456"/>
          </w:tcPr>
          <w:p>
            <w:r>
              <w:t>Form 10-K (FY2025), filed 2026-03-26</w:t>
            </w:r>
          </w:p>
        </w:tc>
        <w:tc>
          <w:tcPr>
            <w:tcW w:type="dxa" w:w="5184"/>
          </w:tcPr>
          <w:p>
            <w:r>
              <w:t>10-K 2026-03-26 accession 0001957845-26-000029 https://www.sec.gov/Archives/edgar/data/1957845/000195784526000029/kkr-20251231.htm</w:t>
            </w:r>
          </w:p>
        </w:tc>
      </w:tr>
      <w:tr>
        <w:tc>
          <w:tcPr>
            <w:tcW w:type="dxa" w:w="720"/>
          </w:tcPr>
          <w:p>
            <w:r>
              <w:t>4.5</w:t>
            </w:r>
          </w:p>
        </w:tc>
        <w:tc>
          <w:tcPr>
            <w:tcW w:type="dxa" w:w="3456"/>
          </w:tcPr>
          <w:p>
            <w:r>
              <w:t>10-K 2026-03-26 (FY2025)</w:t>
            </w:r>
          </w:p>
        </w:tc>
        <w:tc>
          <w:tcPr>
            <w:tcW w:type="dxa" w:w="5184"/>
          </w:tcPr>
          <w:p>
            <w:r>
              <w:t>10-K 2026-03-26 accession 0001957845-26-000029 https://www.sec.gov/Archives/edgar/data/1957845/000195784526000029/kkr-20251231.htm</w:t>
            </w:r>
          </w:p>
        </w:tc>
      </w:tr>
      <w:tr>
        <w:tc>
          <w:tcPr>
            <w:tcW w:type="dxa" w:w="720"/>
          </w:tcPr>
          <w:p>
            <w:r>
              <w:t>4.6</w:t>
            </w:r>
          </w:p>
        </w:tc>
        <w:tc>
          <w:tcPr>
            <w:tcW w:type="dxa" w:w="3456"/>
          </w:tcPr>
          <w:p>
            <w:r>
              <w:t>Form 10-K (FY2025), filed 2026-03-26</w:t>
            </w:r>
          </w:p>
        </w:tc>
        <w:tc>
          <w:tcPr>
            <w:tcW w:type="dxa" w:w="5184"/>
          </w:tcPr>
          <w:p>
            <w:r>
              <w:t>10-K 2026-03-26 accession 0001957845-26-000029 https://www.sec.gov/Archives/edgar/data/1957845/000195784526000029/kkr-20251231.htm</w:t>
            </w:r>
          </w:p>
        </w:tc>
      </w:tr>
      <w:tr>
        <w:tc>
          <w:tcPr>
            <w:tcW w:type="dxa" w:w="720"/>
          </w:tcPr>
          <w:p>
            <w:r>
              <w:t>5.1</w:t>
            </w:r>
          </w:p>
        </w:tc>
        <w:tc>
          <w:tcPr>
            <w:tcW w:type="dxa" w:w="3456"/>
          </w:tcPr>
          <w:p>
            <w:r>
              <w:t>Form 10-K (FY2025), filed 2026-03-26</w:t>
            </w:r>
          </w:p>
        </w:tc>
        <w:tc>
          <w:tcPr>
            <w:tcW w:type="dxa" w:w="5184"/>
          </w:tcPr>
          <w:p>
            <w:r>
              <w:t>10-K 2026-03-26 accession 0001957845-26-000029 https://www.sec.gov/Archives/edgar/data/1957845/000195784526000029/kkr-20251231.htm</w:t>
            </w:r>
          </w:p>
        </w:tc>
      </w:tr>
      <w:tr>
        <w:tc>
          <w:tcPr>
            <w:tcW w:type="dxa" w:w="720"/>
          </w:tcPr>
          <w:p>
            <w:r>
              <w:t>5.3</w:t>
            </w:r>
          </w:p>
        </w:tc>
        <w:tc>
          <w:tcPr>
            <w:tcW w:type="dxa" w:w="3456"/>
          </w:tcPr>
          <w:p>
            <w:r>
              <w:t>benchmark selection artifact (KKR Private Equity Conglomerate LLC)</w:t>
            </w:r>
          </w:p>
        </w:tc>
        <w:tc>
          <w:tcPr>
            <w:tcW w:type="dxa" w:w="5184"/>
          </w:tcPr>
          <w:p>
            <w:r>
              <w:t>accession not on record: no filing reference in the source field</w:t>
            </w:r>
          </w:p>
        </w:tc>
      </w:tr>
      <w:tr>
        <w:tc>
          <w:tcPr>
            <w:tcW w:type="dxa" w:w="720"/>
          </w:tcPr>
          <w:p>
            <w:r>
              <w:t>5.4</w:t>
            </w:r>
          </w:p>
        </w:tc>
        <w:tc>
          <w:tcPr>
            <w:tcW w:type="dxa" w:w="3456"/>
          </w:tcPr>
          <w:p>
            <w:r>
              <w:t>cohort artifact (evergreen private equity cohort)</w:t>
            </w:r>
          </w:p>
        </w:tc>
        <w:tc>
          <w:tcPr>
            <w:tcW w:type="dxa" w:w="5184"/>
          </w:tcPr>
          <w:p>
            <w:r>
              <w:t>accession not on record: no filing reference in the source field</w:t>
            </w:r>
          </w:p>
        </w:tc>
      </w:tr>
      <w:tr>
        <w:tc>
          <w:tcPr>
            <w:tcW w:type="dxa" w:w="720"/>
          </w:tcPr>
          <w:p>
            <w:r>
              <w:t>5.5</w:t>
            </w:r>
          </w:p>
        </w:tc>
        <w:tc>
          <w:tcPr>
            <w:tcW w:type="dxa" w:w="3456"/>
          </w:tcPr>
          <w:p>
            <w:r>
              <w:t>benchmark selection artifact (KKR Private Equity Conglomerate LLC)</w:t>
            </w:r>
          </w:p>
        </w:tc>
        <w:tc>
          <w:tcPr>
            <w:tcW w:type="dxa" w:w="5184"/>
          </w:tcPr>
          <w:p>
            <w:r>
              <w:t>accession not on record: no filing reference in the source field</w:t>
            </w:r>
          </w:p>
        </w:tc>
      </w:tr>
      <w:tr>
        <w:tc>
          <w:tcPr>
            <w:tcW w:type="dxa" w:w="720"/>
          </w:tcPr>
          <w:p>
            <w:r>
              <w:t>5.6</w:t>
            </w:r>
          </w:p>
        </w:tc>
        <w:tc>
          <w:tcPr>
            <w:tcW w:type="dxa" w:w="3456"/>
          </w:tcPr>
          <w:p>
            <w:r>
              <w:t>benchmark selection artifact (KKR Private Equity Conglomerate LLC)</w:t>
            </w:r>
          </w:p>
        </w:tc>
        <w:tc>
          <w:tcPr>
            <w:tcW w:type="dxa" w:w="5184"/>
          </w:tcPr>
          <w:p>
            <w:r>
              <w:t>accession not on record: no filing reference in the source field</w:t>
            </w:r>
          </w:p>
        </w:tc>
      </w:tr>
      <w:tr>
        <w:tc>
          <w:tcPr>
            <w:tcW w:type="dxa" w:w="720"/>
          </w:tcPr>
          <w:p>
            <w:r>
              <w:t>5.7</w:t>
            </w:r>
          </w:p>
        </w:tc>
        <w:tc>
          <w:tcPr>
            <w:tcW w:type="dxa" w:w="3456"/>
          </w:tcPr>
          <w:p>
            <w:r>
              <w:t>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w:t>
            </w:r>
          </w:p>
        </w:tc>
        <w:tc>
          <w:tcPr>
            <w:tcW w:type="dxa" w:w="5184"/>
          </w:tcPr>
          <w:p>
            <w:r>
              <w:t>accession not on record: no filing reference in the source field</w:t>
            </w:r>
          </w:p>
        </w:tc>
      </w:tr>
      <w:tr>
        <w:tc>
          <w:tcPr>
            <w:tcW w:type="dxa" w:w="720"/>
          </w:tcPr>
          <w:p>
            <w:r>
              <w:t>6.1</w:t>
            </w:r>
          </w:p>
        </w:tc>
        <w:tc>
          <w:tcPr>
            <w:tcW w:type="dxa" w:w="3456"/>
          </w:tcPr>
          <w:p>
            <w:r>
              <w:t>Form 10-K (FY2025), filed 2026-03-26</w:t>
            </w:r>
          </w:p>
        </w:tc>
        <w:tc>
          <w:tcPr>
            <w:tcW w:type="dxa" w:w="5184"/>
          </w:tcPr>
          <w:p>
            <w:r>
              <w:t>10-K 2026-03-26 accession 0001957845-26-000029 https://www.sec.gov/Archives/edgar/data/1957845/000195784526000029/kkr-20251231.htm</w:t>
            </w:r>
          </w:p>
        </w:tc>
      </w:tr>
      <w:tr>
        <w:tc>
          <w:tcPr>
            <w:tcW w:type="dxa" w:w="720"/>
          </w:tcPr>
          <w:p>
            <w:r>
              <w:t>6.2</w:t>
            </w:r>
          </w:p>
        </w:tc>
        <w:tc>
          <w:tcPr>
            <w:tcW w:type="dxa" w:w="3456"/>
          </w:tcPr>
          <w:p>
            <w:r>
              <w:t>Form 10-K (FY2025), filed 2026-03-26</w:t>
            </w:r>
          </w:p>
        </w:tc>
        <w:tc>
          <w:tcPr>
            <w:tcW w:type="dxa" w:w="5184"/>
          </w:tcPr>
          <w:p>
            <w:r>
              <w:t>10-K 2026-03-26 accession 0001957845-26-000029 https://www.sec.gov/Archives/edgar/data/1957845/000195784526000029/kkr-20251231.htm</w:t>
            </w:r>
          </w:p>
        </w:tc>
      </w:tr>
      <w:tr>
        <w:tc>
          <w:tcPr>
            <w:tcW w:type="dxa" w:w="720"/>
          </w:tcPr>
          <w:p>
            <w:r>
              <w:t>6.3</w:t>
            </w:r>
          </w:p>
        </w:tc>
        <w:tc>
          <w:tcPr>
            <w:tcW w:type="dxa" w:w="3456"/>
          </w:tcPr>
          <w:p>
            <w:r>
              <w:t>Form 10-K (FY2025), filed 2026-03-26</w:t>
            </w:r>
          </w:p>
        </w:tc>
        <w:tc>
          <w:tcPr>
            <w:tcW w:type="dxa" w:w="5184"/>
          </w:tcPr>
          <w:p>
            <w:r>
              <w:t>10-K 2026-03-26 accession 0001957845-26-000029 https://www.sec.gov/Archives/edgar/data/1957845/000195784526000029/kkr-20251231.htm</w:t>
            </w:r>
          </w:p>
        </w:tc>
      </w:tr>
      <w:tr>
        <w:tc>
          <w:tcPr>
            <w:tcW w:type="dxa" w:w="720"/>
          </w:tcPr>
          <w:p>
            <w:r>
              <w:t>6.4</w:t>
            </w:r>
          </w:p>
        </w:tc>
        <w:tc>
          <w:tcPr>
            <w:tcW w:type="dxa" w:w="3456"/>
          </w:tcPr>
          <w:p>
            <w:r>
              <w:t>10-K 2026-03-26 (FY2025)</w:t>
            </w:r>
          </w:p>
        </w:tc>
        <w:tc>
          <w:tcPr>
            <w:tcW w:type="dxa" w:w="5184"/>
          </w:tcPr>
          <w:p>
            <w:r>
              <w:t>10-K 2026-03-26 accession 0001957845-26-000029 https://www.sec.gov/Archives/edgar/data/1957845/000195784526000029/kkr-20251231.htm</w:t>
            </w:r>
          </w:p>
        </w:tc>
      </w:tr>
      <w:tr>
        <w:tc>
          <w:tcPr>
            <w:tcW w:type="dxa" w:w="720"/>
          </w:tcPr>
          <w:p>
            <w:r>
              <w:t>6.5</w:t>
            </w:r>
          </w:p>
        </w:tc>
        <w:tc>
          <w:tcPr>
            <w:tcW w:type="dxa" w:w="3456"/>
          </w:tcPr>
          <w:p>
            <w:r>
              <w:t>Form 10-K (FY2025), filed 2026-03-26</w:t>
            </w:r>
          </w:p>
        </w:tc>
        <w:tc>
          <w:tcPr>
            <w:tcW w:type="dxa" w:w="5184"/>
          </w:tcPr>
          <w:p>
            <w:r>
              <w:t>10-K 2026-03-26 accession 0001957845-26-000029 https://www.sec.gov/Archives/edgar/data/1957845/000195784526000029/kkr-20251231.htm</w:t>
            </w:r>
          </w:p>
        </w:tc>
      </w:tr>
    </w:tbl>
    <w:p>
      <w:r>
        <w:t>Data sources: SEC EDGAR filings (2 held for this product in the filing manifest, every row with its accession) and DOL EBSA Form 5500 data for the plan, shown under its anonymized label.</w:t>
      </w:r>
    </w:p>
    <w:p>
      <w:pPr>
        <w:jc w:val="left"/>
      </w:pPr>
      <w:r>
        <w:br/>
        <w:t>Prepared by: ______________________    Reviewed by: ______________________    Date: 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