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Benchmark: Listed REIT investable proxy (VNQ) at 9/12, KS-PME 0.9453, Direct Alpha -5.47%/yr over 2024-12-31 to 2025-12-31.</w:t>
      </w:r>
    </w:p>
    <w:p>
      <w:r>
        <w:t>Flags raised by the record (each restates a typed value or verdict,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0.9453, Direct Alpha -5.47%/yr, 2024-12-31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Starwood Real Estate Income Trust, Inc. (members: Blackstone Real Estate Income Trust Inc, JLL Income Property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0%.</w:t>
      </w:r>
    </w:p>
    <w:p>
      <w:r>
        <w:t>Stressed (tail turnover x2, active turnover x1.5 vs base scenario): demand $13.2M/yr = 16.7% of the position. EXCEEDS annual wrapper capacity. Unmet demand rolls into later windows (gating-equivalent outcome).</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Scenario demand (illustrative): 9.2%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24, verified 0, computed 9, partial 6,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