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Starwood Real Estate Income Trust, Inc. (non-traded REIT ('34 Act reporting), CIK 1711929)</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0.95 vs VNQ.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 no underlying third-party GP funds, so no underlying-fund IRR table exists.</w:t>
            </w:r>
          </w:p>
          <w:p>
            <w:r>
              <w:t>1.8 Risk-adjusted metrics (PME etc) (computed): Primary Listed REIT investable proxy (VNQ): KS-PME 0.9453 and Direct Alpha -5.47%/yr over 2024-12-31 to 2025-12-31 (series comparison), fund growth 0.976x vs proxy growth 1.0325x on two-point flows (one contribution at the window start, one valuation at the end), fund return source: filed fiscal-year returns.</w:t>
            </w:r>
          </w:p>
          <w:p>
            <w:r>
              <w:t>1.9 Stress-window performance (computed): Stress observation from the printed fiscal-year returns on record.</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Not applicable: 1.6 sub-annual return series not free-public for this wrapper. 1.7 sub-annual return series not free-public for this wrapper. 1.10 not exchange-listed.</w:t>
            </w:r>
          </w:p>
        </w:tc>
      </w:tr>
      <w:tr>
        <w:tc>
          <w:tcPr>
            <w:tcW w:type="dxa" w:w="1728"/>
          </w:tcPr>
          <w:p>
            <w:r>
              <w:t>2. Fees (h)</w:t>
            </w:r>
          </w:p>
        </w:tc>
        <w:tc>
          <w:tcPr>
            <w:tcW w:type="dxa" w:w="7632"/>
          </w:tcPr>
          <w:p>
            <w:r>
              <w:t>Typed facts: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 (wholly owned subsidiary of Starwood Capital Group Holdings): 12.5% of the Operating Partnership's annual total return (defined as distributions paid or accrued plus change in NAV) after other unitholders receive a 5% total return (after recouping any loss carryforward amount), with catch-up until the split is 12.5%/87.5%, then 12.5% thereafter; paid annually in cash or Class I OP units at the Special Limited Partner's election.</w:t>
            </w:r>
          </w:p>
          <w:p>
            <w:r>
              <w:t>2.4 AFFE (extracted-unverified): Not applicable - none exists: SREIT is a '34-Act 10-K filer (not a 1940-Act registered fund), so no 'Acquired Fund Fees and Expenses' line exists or can exist.</w:t>
            </w:r>
          </w:p>
          <w:p>
            <w:r>
              <w:t>2.5 Underlying GP economics (partial): PARTIAL: SREIT owns real estate directly -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 a 5% deduction.</w:t>
            </w:r>
          </w:p>
          <w:p>
            <w:r>
              <w:t>2.9 Fee peer percentile (computed): Cohort placement (non-traded real estate cohort):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 zero hits for 'expense ratio' in the stripped FY2025 10-K and Q2-2026 10-Q; fee-burden components evidenced in 2.1/2.2/2.6/2.7.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monthly dealing, 0% cap per month on aggregate NAV. 3.3 gating history: yes, prorated under stress. 3.9 structural verdict misaligned, plan-independent.</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MISALIGNED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 investment in real estate debt L1 $0 / L2 $0 / L3 $915,431; derivatives L2 $83,223; total L1 $0 / L2 $83,223 / L3 $915,431 / $998,654.</w:t>
            </w:r>
          </w:p>
          <w:p>
            <w:r>
              <w:t>4.3 Independent valuation agent (extracted-unverified): NAMED: independent valuation advisor is Altus Group U.S. Inc. - performs quarterly update appraisals of consolidated real property, reviews the Advisor's monthly valuation updates for reasonableness, considers annual third-party appraisals in its quarterly updates, and reviews valuation guidelines/methodologies with the Advisor and board at least annually.</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 34; report dated March 20, 2026 (Big-4).</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VNQ selected, 9/12.</w:t>
            </w:r>
          </w:p>
          <w:p>
            <w:r>
              <w:t>5.1 Self-declared benchmark (extracted-unverified): ABSENCE DOCUMENTED (searched 2026-08-15): SREIT declares NO benchmark index anywhere in the FY2025 10-K - zero hits for MSCI, ODCE and NCREIF; 'NAREIT' appears only as the standard-setter defining FFO ('FFO is a standard REIT industry metric defined by [NAREIT]') plus one incidental director-bio credential (David B. Henry, former Vice Chairman of NAREIT's Board of Governors) - never as a comparison index; the word 'benchmark' appears only for interest-rate benchmarks (one-month SOFR, BBSY).</w:t>
            </w:r>
          </w:p>
          <w:p>
            <w:r>
              <w:t>5.3 Alt asset-class indices (computed): Benchmark candidates evaluated by the engine (Tark benchmark rubric, 12 points, threshold 7 of 12, strategy gate below 2 of 3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proxy Listed REIT investable proxy (VNQ), primary slot): window 2024-12-31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 zero hits for '1099' in the stripped FY2025 10-K, Q2-2026 10-Q and 424B3 Supplement No. 7 (searched 2026-08-15).</w:t>
            </w:r>
          </w:p>
          <w:p>
            <w:r>
              <w:t>6.5 Service-provider web (partial): PARTIAL: names as printed in the 10-K - Auditor: Deloitte &amp; Touche LLP, New York (since 2017, PCAOB ID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and 3.1/3.3. 6.8 workflow, not data.</w:t>
            </w:r>
          </w:p>
        </w:tc>
      </w:tr>
    </w:tbl>
    <w:p>
      <w:pPr>
        <w:pStyle w:val="Heading1"/>
      </w:pPr>
      <w:r>
        <w:t>Benchmark selection and justification</w:t>
      </w:r>
    </w:p>
    <w:p>
      <w:pPr>
        <w:pStyle w:val="Heading2"/>
      </w:pPr>
      <w:r>
        <w:t>Primary: Listed REIT investable proxy (VNQ) (score 9/12)</w:t>
      </w:r>
    </w:p>
    <w:p>
      <w:r>
        <w:t>Window 2024-12-31 to 2025-12-31: fund -2.4%/yr (filed fiscal-year returns) vs public proxy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REITs for core-plus non-traded real estate)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 the registry affiliation map ties it to none of the fund's advisers</w:t>
      </w:r>
    </w:p>
    <w:p>
      <w:pPr>
        <w:pStyle w:val="Heading2"/>
      </w:pPr>
      <w:r>
        <w:t>Secondary: NCREIF Fund Index - ODCE (private core RE) (score 7/12)</w:t>
      </w:r>
    </w:p>
    <w:p>
      <w:pPr>
        <w:pStyle w:val="ListBullet"/>
      </w:pPr>
      <w:r>
        <w:t>strategy_match 3/3: a private-market index of real estate for a core-plus non-traded real estate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composite, non-traded real estate cohort without Starwood Real Estate Income Trust, Inc. (members: Blackstone Real Estate Income Trust Inc, JLL Income Property Trust, Inc.)</w:t>
            </w:r>
          </w:p>
        </w:tc>
        <w:tc>
          <w:tcPr>
            <w:tcW w:type="dxa" w:w="1152"/>
          </w:tcPr>
          <w:p>
            <w:r>
              <w:t>3/12</w:t>
            </w:r>
          </w:p>
        </w:tc>
        <w:tc>
          <w:tcPr>
            <w:tcW w:type="dxa" w:w="4752"/>
          </w:tcPr>
          <w:p>
            <w:r>
              <w:t>score 3/12 below primary threshold 7</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repurchases suspended since the April 29, 2026 amendment (3.1)</w:t>
            </w:r>
          </w:p>
        </w:tc>
        <w:tc>
          <w:tcPr>
            <w:tcW w:type="dxa" w:w="1152"/>
          </w:tcPr>
          <w:p>
            <w:r>
              <w:t>3.1</w:t>
            </w:r>
          </w:p>
        </w:tc>
      </w:tr>
      <w:tr>
        <w:tc>
          <w:tcPr>
            <w:tcW w:type="dxa" w:w="2448"/>
          </w:tcPr>
          <w:p>
            <w:r>
              <w:t>Repurchase caps</w:t>
            </w:r>
          </w:p>
        </w:tc>
        <w:tc>
          <w:tcPr>
            <w:tcW w:type="dxa" w:w="5760"/>
          </w:tcPr>
          <w:p>
            <w:r>
              <w:t>0% per month for ordinary requests (suspended), 0% per year</w:t>
            </w:r>
          </w:p>
        </w:tc>
        <w:tc>
          <w:tcPr>
            <w:tcW w:type="dxa" w:w="1152"/>
          </w:tcPr>
          <w:p>
            <w:r>
              <w:t>3.1</w:t>
            </w:r>
          </w:p>
        </w:tc>
      </w:tr>
      <w:tr>
        <w:tc>
          <w:tcPr>
            <w:tcW w:type="dxa" w:w="2448"/>
          </w:tcPr>
          <w:p>
            <w:r>
              <w:t>Annual capacity (binding cap)</w:t>
            </w:r>
          </w:p>
        </w:tc>
        <w:tc>
          <w:tcPr>
            <w:tcW w:type="dxa" w:w="5760"/>
          </w:tcPr>
          <w:p>
            <w:r>
              <w:t>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0%.</w:t>
      </w:r>
    </w:p>
    <w:p>
      <w:r>
        <w:t>Stressed (tail turnover x2, active turnover x1.5 vs base scenario): demand $13.2M/yr = 16.7% of the position. EXCEEDS annual wrapper capacity. Unmet demand rolls into later windows (gating-equivalent outcome).</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Scenario demand (illustrative): 9.2%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plan_restaurant_hourly.json (Form 5500, plan year 2024-05-01 to 2025-04-30).</w:t>
      </w:r>
    </w:p>
    <w:p>
      <w:pPr>
        <w:pStyle w:val="Heading1"/>
      </w:pPr>
      <w:r>
        <w:t>Peer cohort placement</w:t>
      </w:r>
    </w:p>
    <w:p>
      <w:r>
        <w:t>Evidence depth tier: COHORT. Cohort: Non-traded NAV REITs (n=3). Membership rationale: Non-traded monthly-NAV REIT -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artifact, membership rationales in the typed 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MISALIGNED (typed facts, plan-independent). Scenario verdict under US casual-dining restaurant group 401(k) plan (~$1.6B, FL) (ILLUSTRATIVE): MISALIGNED.</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9, partial 6,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2026-03-20) Item 5;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1.2</w:t>
            </w:r>
          </w:p>
        </w:tc>
        <w:tc>
          <w:tcPr>
            <w:tcW w:type="dxa" w:w="3456"/>
          </w:tcPr>
          <w:p>
            <w:r>
              <w:t>Form 10-K FY2025 (filed 2026-03-20) MD&amp;A '2025 Highlights'; Form 10-Q Q2-2026 (filed 2026-08-12) MD&amp;A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1.4</w:t>
            </w:r>
          </w:p>
        </w:tc>
        <w:tc>
          <w:tcPr>
            <w:tcW w:type="dxa" w:w="3456"/>
          </w:tcPr>
          <w:p>
            <w:r>
              <w:t>Form 10-K FY2025 (filed 2026-03-20) MD&amp;A Distributions; Form 10-Q Q2-2026 (filed 2026-08-12) Recent Developments and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1.8</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2.1</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2.2</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2.7</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2026-03-20) Item 5; Form 10-Q Q2-2026 (filed 2026-08-12) Note 9 and Part II Item 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3.3</w:t>
            </w:r>
          </w:p>
        </w:tc>
        <w:tc>
          <w:tcPr>
            <w:tcW w:type="dxa" w:w="3456"/>
          </w:tcPr>
          <w:p>
            <w:r>
              <w:t>Form 10-K FY2025 (filed 2026-03-20) Item 5 and cash-flow statement; Form 10-Q Q2-2026 (filed 2026-08-12) Part II Item 2 and Recent Developments;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3.4</w:t>
            </w:r>
          </w:p>
        </w:tc>
        <w:tc>
          <w:tcPr>
            <w:tcW w:type="dxa" w:w="3456"/>
          </w:tcPr>
          <w:p>
            <w:r>
              <w:t>Form 10-K FY2025 (filed 2026-03-20) MD&amp;A Liquidity and Capital Resources; Form 10-Q Q2-2026 (filed 2026-08-12) Note 6 and MD&amp;A</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3.6</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3.8</w:t>
            </w:r>
          </w:p>
        </w:tc>
        <w:tc>
          <w:tcPr>
            <w:tcW w:type="dxa" w:w="3456"/>
          </w:tcPr>
          <w:p>
            <w:r>
              <w:t>liquidity match artifacts (Starwood Real Estate Income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(Starwood Real Estate Income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4.5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5.1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5.3</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5.6</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6.2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6.4</w:t>
            </w:r>
          </w:p>
        </w:tc>
        <w:tc>
          <w:tcPr>
            <w:tcW w:type="dxa" w:w="3456"/>
          </w:tcPr>
          <w:p>
            <w:r>
              <w:t>Form 10-K FY2025 (filed 2026-03-20);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6.5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bl>
    <w:p>
      <w:r>
        <w:t>Data sources: SEC EDGAR filings (3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