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StepStone Private Markets (tender-offer fund ('40 Act), CIK 1789470)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2020-10-01. 1.8 KS-PME 1.76 vs PSP, peer relative wealth ratio 1.02.</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Primary Peer composite, evergreen private equity cohort without StepStone Private Markets (members: AMG Pantheon Fund, LLC, Ares Private Markets Fund, Hamilton Lane Private Assets Fund, KKR Private Equity Conglomerate LLC): relative wealth ratio 1.0206 over FY2022 to FY2026 (5 overlapping fiscal year(s) of 5 composite years), fund growth 1.9504x / peer composite growth 1.911x on two-point flows, annualized excess return +0.41%/yr, fund return source: filed fiscal-year returns.</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net assets. 2.3 1.91% expense ratio, AFFE excluded (FY2026, Class I). 2.4 AFFE 0.59%.</w:t>
            </w:r>
          </w:p>
          <w:p>
            <w:r>
              <w:t>2.1 Management fee (rate AND base) (extracted-unverified): 1.40% annualized on daily NET ASSETS (contrast: PAF charges same 1.40% on MANAGED ASSETS incl. leverage —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3.6 $5.8B net assets. 3.9 structural verdict partial, plan-independent.</w:t>
            </w:r>
          </w:p>
          <w:p>
            <w:r>
              <w:t>3.1 Wrapper liquidity terms (extracted-unverified): Quarterly tender offers: up to 5% of OUTSTANDING SHARES (vs PAF's 5% of net assets -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 i.e., ~99% of investments are Level 3 or NAV-based.</w:t>
            </w:r>
          </w:p>
          <w:p>
            <w:r>
              <w:t>3.6 Fund leverage &amp; facilities (extracted-unverified): Cash $247.3M + $300.0M undrawn credit facility as of 3/31/2026.</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evergreen PE peer composite selected, 9/12.</w:t>
            </w:r>
          </w:p>
          <w:p>
            <w:r>
              <w:t>5.1 Self-declared benchmark (extracted-unverified): Stated primary benchmark: MSCI World Index.</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secondary slot):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 secondary purchases of existing interests in operating companies/projects/properties and unaffiliated Investment Funds, incl. Open-Ended Funds, 'Seasoned Investments' (funds already ~25% invested at closing) and stapled secondaries; (2) Co-Investments - direct equity in operating companies alongside lead Investment Managers (Fund holds minority/non-controlling positions); (3) Primary Investments -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evergreen private equity cohort without StepStone Private Markets (members: AMG Pantheon Fund, LLC, Ares Private Markets Fund, Hamilton Lane Private Assets Fund, KKR Private Equity Conglomerate LLC) (score 9/12)</w:t>
      </w:r>
    </w:p>
    <w:p>
      <w:r>
        <w:t>Window FY2022 to FY2026 (5 overlapping fiscal year(s) of 5 composite years): fund 14.3%/yr (filed fiscal-year returns) vs peer composite 13.83%/yr, relative wealth ratio 1.0206, annualized excess return 0.41%/yr.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(amg_pantheon, ares_pmf, hl_paf), 12 (kkr_kpec), the fund's in month 03.</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equity / evergreen private equity)</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Listed private equity investable proxy (PSP) (score 9/12)</w:t>
      </w:r>
    </w:p>
    <w:p>
      <w:r>
        <w:t>Window 2021-03-31 to 2026-03-31: fund 12.92%/yr (disclosed annualized figure (cell 1.2)) vs public proxy 0.83%/yr, KS-PME 1.762, Direct Alpha 12.0%/yr.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private equity)</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plan_restaurant_hourly.json (Form 5500, plan year 2024-05-01 to 2025-04-30).</w:t>
      </w:r>
    </w:p>
    <w:p>
      <w:pPr>
        <w:pStyle w:val="Heading1"/>
      </w:pPr>
      <w:r>
        <w:t>Peer cohort placement</w:t>
      </w:r>
    </w:p>
    <w:p>
      <w:r>
        <w:t>Evidence depth tier: FULL. Cohort: Evergreen private equity ('40-Act funds + '34-Act conglomerate) (n=5). Membership rationale: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Benchmark: Peer composite, evergreen private equity cohort without StepStone Private Markets (members: AMG Pantheon Fund, LLC, Ares Private Markets Fund, Hamilton Lane Private Assets Fund, KKR Private Equity Conglomerate LLC) selected as primary at 9/12,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10, partial 3, fetched 1, n/a 13, pending 0. 41 of 41 resolvable, 0 verified, 13 n/a by wrapper.</w:t>
      </w:r>
    </w:p>
    <w:p>
      <w:r>
        <w:t>Of the 40 evidenced cells, 40 carry a source document, 39 a section, 29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(FY2026 annual report), Consolidated Financial Highlights</w:t>
            </w:r>
          </w:p>
        </w:tc>
        <w:tc>
          <w:tcPr>
            <w:tcW w:type="dxa" w:w="5184"/>
          </w:tcPr>
          <w:p>
            <w:r>
              <w:t>N-CSR 2026-06-09 accession 0001213900-26-066828 https://www.sec.gov/Archives/edgar/data/1789470/000121390026066828/ea0293635-01_ncsr.htm</w:t>
            </w:r>
          </w:p>
        </w:tc>
      </w:tr>
      <w:tr>
        <w:tc>
          <w:tcPr>
            <w:tcW w:type="dxa" w:w="720"/>
          </w:tcPr>
          <w:p>
            <w:r>
              <w:t>1.2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1.8</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2025-10-20 (prospectus/SAI)</w:t>
            </w:r>
          </w:p>
        </w:tc>
        <w:tc>
          <w:tcPr>
            <w:tcW w:type="dxa" w:w="5184"/>
          </w:tcPr>
          <w:p>
            <w:r>
              <w:t>486BPOS 2025-10-20 accession 0001193125-25-243390 https://www.sec.gov/Archives/edgar/data/1789470/000119312525243390/d60278d486bpos.htm</w:t>
            </w:r>
          </w:p>
        </w:tc>
      </w:tr>
      <w:tr>
        <w:tc>
          <w:tcPr>
            <w:tcW w:type="dxa" w:w="720"/>
          </w:tcPr>
          <w:p>
            <w:r>
              <w:t>2.1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2.2</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2.3</w:t>
            </w:r>
          </w:p>
        </w:tc>
        <w:tc>
          <w:tcPr>
            <w:tcW w:type="dxa" w:w="3456"/>
          </w:tcPr>
          <w:p>
            <w:r>
              <w:t>N-CSR 2026-06-09 (FY2026 annual report)</w:t>
            </w:r>
          </w:p>
        </w:tc>
        <w:tc>
          <w:tcPr>
            <w:tcW w:type="dxa" w:w="5184"/>
          </w:tcPr>
          <w:p>
            <w:r>
              <w:t>N-CSR 2026-06-09 accession 0001213900-26-066828 https://www.sec.gov/Archives/edgar/data/1789470/000121390026066828/ea0293635-01_ncsr.htm</w:t>
            </w:r>
          </w:p>
        </w:tc>
      </w:tr>
      <w:tr>
        <w:tc>
          <w:tcPr>
            <w:tcW w:type="dxa" w:w="720"/>
          </w:tcPr>
          <w:p>
            <w:r>
              <w:t>2.4</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2.5</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2.6</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2.7</w:t>
            </w:r>
          </w:p>
        </w:tc>
        <w:tc>
          <w:tcPr>
            <w:tcW w:type="dxa" w:w="3456"/>
          </w:tcPr>
          <w:p>
            <w:r>
              <w:t>486BPOS 2025-10-20 + N-CSR 2026-06-09</w:t>
            </w:r>
          </w:p>
        </w:tc>
        <w:tc>
          <w:tcPr>
            <w:tcW w:type="dxa" w:w="5184"/>
          </w:tcPr>
          <w:p>
            <w:r>
              <w:t>486BPOS 2025-10-20 accession 0001193125-25-243390 https://www.sec.gov/Archives/edgar/data/1789470/000119312525243390/d60278d486bpos.htm</w:t>
            </w:r>
          </w:p>
          <w:p>
            <w:r>
              <w:t>N-CSR 2026-06-09 accession 0001213900-26-066828 https://www.sec.gov/Archives/edgar/data/1789470/000121390026066828/ea0293635-01_ncsr.htm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2026-05-12</w:t>
            </w:r>
          </w:p>
        </w:tc>
        <w:tc>
          <w:tcPr>
            <w:tcW w:type="dxa" w:w="5184"/>
          </w:tcPr>
          <w:p>
            <w:r>
              <w:t>SC TO-I 2026-05-12 accession 0001193125-26-219013 https://www.sec.gov/Archives/edgar/data/1789470/000119312526219013/na-20260512.htm</w:t>
            </w:r>
          </w:p>
        </w:tc>
      </w:tr>
      <w:tr>
        <w:tc>
          <w:tcPr>
            <w:tcW w:type="dxa" w:w="720"/>
          </w:tcPr>
          <w:p>
            <w:r>
              <w:t>3.2</w:t>
            </w:r>
          </w:p>
        </w:tc>
        <w:tc>
          <w:tcPr>
            <w:tcW w:type="dxa" w:w="3456"/>
          </w:tcPr>
          <w:p>
            <w:r>
              <w:t>SC TO-I 2026-05-12 (Offer to Purchase); N-CSR 2026-06-09 Note 10</w:t>
            </w:r>
          </w:p>
        </w:tc>
        <w:tc>
          <w:tcPr>
            <w:tcW w:type="dxa" w:w="5184"/>
          </w:tcPr>
          <w:p>
            <w:r>
              <w:t>SC TO-I 2026-05-12 accession 0001193125-26-219013 https://www.sec.gov/Archives/edgar/data/1789470/000119312526219013/na-20260512.htm</w:t>
            </w:r>
          </w:p>
          <w:p>
            <w:r>
              <w:t>N-CSR 2026-06-09 accession 0001213900-26-066828 https://www.sec.gov/Archives/edgar/data/1789470/000121390026066828/ea0293635-01_ncsr.htm</w:t>
            </w:r>
          </w:p>
        </w:tc>
      </w:tr>
      <w:tr>
        <w:tc>
          <w:tcPr>
            <w:tcW w:type="dxa" w:w="720"/>
          </w:tcPr>
          <w:p>
            <w:r>
              <w:t>3.3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4.1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4.3</w:t>
            </w:r>
          </w:p>
        </w:tc>
        <w:tc>
          <w:tcPr>
            <w:tcW w:type="dxa" w:w="3456"/>
          </w:tcPr>
          <w:p>
            <w:r>
              <w:t>486BPOS 2025-10-20 (SAI)</w:t>
            </w:r>
          </w:p>
        </w:tc>
        <w:tc>
          <w:tcPr>
            <w:tcW w:type="dxa" w:w="5184"/>
          </w:tcPr>
          <w:p>
            <w:r>
              <w:t>486BPOS 2025-10-20 accession 0001193125-25-243390 https://www.sec.gov/Archives/edgar/data/1789470/000119312525243390/d60278d486bpos.htm</w:t>
            </w:r>
          </w:p>
        </w:tc>
      </w:tr>
      <w:tr>
        <w:tc>
          <w:tcPr>
            <w:tcW w:type="dxa" w:w="720"/>
          </w:tcPr>
          <w:p>
            <w:r>
              <w:t>4.4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5.3</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5.6</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6.2</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6.3</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6.4</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6.5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bl>
    <w:p>
      <w:r>
        <w:t>Data sources: SEC EDGAR filings (5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