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AMG Pantheon Fund, LLC (tender-offer fund ('40 Act), evergreen PE, CIK 1609211)</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evergreen private equity cohort without AMG Pantheon Fund, LLC (members: Ares Private Markets Fund, Hamilton Lane Private Assets Fund, KKR Private Equity Conglomerate LLC, StepStone Private Markets) at 9/12, relative wealth ratio 0.8357 vs the peer composite, annualized excess return -3.53%/yr (not a public market equivalent) over FY2022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AMG Pantheon Fund, LLC (members: Ares Private Markets Fund, Hamilton Lane Private Assets Fund, KKR Private Equity Conglomerate LLC, StepStone Private Markets)</w:t>
            </w:r>
          </w:p>
        </w:tc>
        <w:tc>
          <w:tcPr>
            <w:tcW w:type="dxa" w:w="864"/>
          </w:tcPr>
          <w:p>
            <w:r>
              <w:t>9/12</w:t>
            </w:r>
          </w:p>
        </w:tc>
        <w:tc>
          <w:tcPr>
            <w:tcW w:type="dxa" w:w="3888"/>
          </w:tcPr>
          <w:p>
            <w:r>
              <w:t>relative wealth ratio 0.8357 vs the peer composite, annualized excess return -3.53%/yr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1.5919, Direct Alpha 6.87%/yr, 2019-03-31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0.70%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2.38% expense ratio, total annual expenses of the inception class, classes range 2.38% to 3.38%</w:t>
            </w:r>
          </w:p>
        </w:tc>
        <w:tc>
          <w:tcPr>
            <w:tcW w:type="dxa" w:w="2880"/>
          </w:tcPr>
          <w:p>
            <w:r>
              <w:t>extracted-unverified</w:t>
            </w:r>
          </w:p>
        </w:tc>
      </w:tr>
      <w:tr>
        <w:tc>
          <w:tcPr>
            <w:tcW w:type="dxa" w:w="2880"/>
          </w:tcPr>
          <w:p>
            <w:r>
              <w:t>2.4 AFFE</w:t>
            </w:r>
          </w:p>
        </w:tc>
        <w:tc>
          <w:tcPr>
            <w:tcW w:type="dxa" w:w="3600"/>
          </w:tcPr>
          <w:p>
            <w:r>
              <w:t>AFFE 0.81%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9, partial 3,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