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media/technology company 401(k) plan (~$570M, New York)</w:t>
        <w:br/>
      </w:r>
      <w:r>
        <w:t>Product: Blackstone Private Credit Fund (non-traded BDC ('34 Act reporting; continuous offering), CIK 1803498)</w:t>
        <w:br/>
      </w:r>
      <w:r>
        <w:t>Record as of 2026-09-04. DRAFT, generated by the build from the record. The decision memo for the same plan and product is a separate document.</w:t>
      </w:r>
    </w:p>
    <w:p>
      <w:pPr>
        <w:pStyle w:val="Heading1"/>
      </w:pPr>
      <w:r>
        <w:t>Summary</w:t>
      </w:r>
    </w:p>
    <w:p>
      <w:r>
        <w:t>Structural liquidity verdict: CONDITIONAL (typed facts, plan-independent). Scenario verdict under this plan (ILLUSTRATIVE, default sliders): CONDITIONAL.</w:t>
      </w:r>
    </w:p>
    <w:p>
      <w:r>
        <w:t>Benchmark: Peer composite, private credit cohort without Blackstone Private Credit Fund (members: CION Ares Diversified Credit Fund, Cliffwater Corporate Lending Fund, Blue Owl Credit Income Corp., PIMCO Flexible Credit Income Fund) at 9/12, relative wealth ratio 1.0798 vs the peer composite, annualized excess return 1.55%/yr (not a public market equivalent) over FY2021 to FY2025.</w:t>
      </w:r>
    </w:p>
    <w:p>
      <w:r>
        <w:t>Flags raised by the record (each restates a typed value or verdict, with its source):</w:t>
      </w:r>
    </w:p>
    <w:p>
      <w:pPr>
        <w:pStyle w:val="ListBullet"/>
      </w:pPr>
      <w:r>
        <w:t>none</w:t>
      </w:r>
    </w:p>
    <w:p>
      <w:r>
        <w:t>Evidence coverage: 40 of 40 resolvable, 0 verified, 14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Peer composite, private credit cohort without Blackstone Private Credit Fund (members: CION Ares Diversified Credit Fund, Cliffwater Corporate Lending Fund, Blue Owl Credit Income Corp., PIMCO Flexible Credit Income Fund)</w:t>
            </w:r>
          </w:p>
        </w:tc>
        <w:tc>
          <w:tcPr>
            <w:tcW w:type="dxa" w:w="864"/>
          </w:tcPr>
          <w:p>
            <w:r>
              <w:t>9/12</w:t>
            </w:r>
          </w:p>
        </w:tc>
        <w:tc>
          <w:tcPr>
            <w:tcW w:type="dxa" w:w="3888"/>
          </w:tcPr>
          <w:p>
            <w:r>
              <w:t>relative wealth ratio 1.0798 vs the peer composite, annualized excess return 1.55%/yr (not a public market equivalent), FY2021 to FY2025</w:t>
            </w:r>
          </w:p>
        </w:tc>
      </w:tr>
      <w:tr>
        <w:tc>
          <w:tcPr>
            <w:tcW w:type="dxa" w:w="1152"/>
          </w:tcPr>
          <w:p>
            <w:r>
              <w:t>secondary</w:t>
            </w:r>
          </w:p>
        </w:tc>
        <w:tc>
          <w:tcPr>
            <w:tcW w:type="dxa" w:w="3456"/>
          </w:tcPr>
          <w:p>
            <w:r>
              <w:t>Senior loan investable proxy (BKLN, for Morningstar LSTA class)</w:t>
            </w:r>
          </w:p>
        </w:tc>
        <w:tc>
          <w:tcPr>
            <w:tcW w:type="dxa" w:w="864"/>
          </w:tcPr>
          <w:p>
            <w:r>
              <w:t>9/12</w:t>
            </w:r>
          </w:p>
        </w:tc>
        <w:tc>
          <w:tcPr>
            <w:tcW w:type="dxa" w:w="3888"/>
          </w:tcPr>
          <w:p>
            <w:r>
              <w:t>KS-PME 1.2378, Direct Alpha 4.38%/yr, 2021-01-07 to 2025-12-31</w:t>
            </w:r>
          </w:p>
        </w:tc>
      </w:tr>
      <w:tr>
        <w:tc>
          <w:tcPr>
            <w:tcW w:type="dxa" w:w="1152"/>
          </w:tcPr>
          <w:p>
            <w:r>
              <w:t>rejected</w:t>
            </w:r>
          </w:p>
        </w:tc>
        <w:tc>
          <w:tcPr>
            <w:tcW w:type="dxa" w:w="3456"/>
          </w:tcPr>
          <w:p>
            <w:r>
              <w:t>Cliffwater Direct Lending Index (CDLI)</w:t>
            </w:r>
          </w:p>
        </w:tc>
        <w:tc>
          <w:tcPr>
            <w:tcW w:type="dxa" w:w="864"/>
          </w:tcPr>
          <w:p>
            <w:r>
              <w:t>7/12</w:t>
            </w:r>
          </w:p>
        </w:tc>
        <w:tc>
          <w:tcPr>
            <w:tcW w:type="dxa" w:w="3888"/>
          </w:tcPr>
          <w:p>
            <w:r>
              <w:t>outranked: score 7/12 vs primary 9/12 and secondary 9/12 (only two slots). Retained in log as viable alternate</w:t>
            </w:r>
          </w:p>
        </w:tc>
      </w:tr>
    </w:tbl>
    <w:p>
      <w:pPr>
        <w:pStyle w:val="Heading1"/>
      </w:pPr>
      <w:r>
        <w:t>Exhibit B. Liquidity match for this plan</w:t>
      </w:r>
    </w:p>
    <w:p>
      <w:pPr>
        <w:pStyle w:val="Heading1"/>
      </w:pPr>
      <w:r>
        <w:t>Product-to-plan liquidity match</w:t>
      </w:r>
    </w:p>
    <w:p>
      <w:r>
        <w:t>Plan: US media/technology company 401(k) plan (~$570M, New York).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quarterly with a 5% cap per quarter on NAV. Direct DIA use requires a bridging structure: CIT sleeve, managed account, or TDF sleeve (cell 3.5).</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 BDC</w:t>
            </w:r>
          </w:p>
        </w:tc>
        <w:tc>
          <w:tcPr>
            <w:tcW w:type="dxa" w:w="1152"/>
          </w:tcPr>
          <w:p>
            <w:r>
              <w:t>6.1</w:t>
            </w:r>
          </w:p>
        </w:tc>
      </w:tr>
      <w:tr>
        <w:tc>
          <w:tcPr>
            <w:tcW w:type="dxa" w:w="2448"/>
          </w:tcPr>
          <w:p>
            <w:r>
              <w:t>Dealing terms</w:t>
            </w:r>
          </w:p>
        </w:tc>
        <w:tc>
          <w:tcPr>
            <w:tcW w:type="dxa" w:w="5760"/>
          </w:tcPr>
          <w:p>
            <w:r>
              <w:t>quarterly offers, 5% cap per quarter on NAV</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bl>
    <w:p>
      <w:pPr>
        <w:pStyle w:val="Heading2"/>
      </w:pPr>
      <w:r>
        <w:t>Scenario (ILLUSTRATIVE, this plan)</w:t>
      </w:r>
    </w:p>
    <w:p>
      <w:r>
        <w:t>Plan inputs (Form 5500): net assets $565.8M, liquidity tail 36.1% of accounts (1,847 separated participants with balances).</w:t>
      </w:r>
    </w:p>
    <w:p>
      <w:r>
        <w:t>Parameters (adjustable on the site, not facts): allocation 5% of plan = $28.3M, tail turnover 20%/yr, active turnover 5%/yr. Base demand $2.9M/yr = 10.4% of the position vs annual wrapper capacity 20%.</w:t>
      </w:r>
    </w:p>
    <w:p>
      <w:r>
        <w:t>Stressed (tail turnover x2, active turnover x1.5 vs base scenario): demand $5.4M/yr = 19.2% of the position. within wrapper capacity (19.2% vs 20%) IF offers are not prorated.</w:t>
      </w:r>
    </w:p>
    <w:p>
      <w:r>
        <w:t>Scenario verdict (ILLUSTRATIVE, this plan): CONDITIONAL.</w:t>
      </w:r>
    </w:p>
    <w:p>
      <w:pPr>
        <w:pStyle w:val="ListBullet"/>
      </w:pPr>
      <w:r>
        <w:t>Capacity: 5% per quarter on NAV: at most 20% of the position per year. This is a FUND-level cap shared by every holder, so the plan's position is served only while offers are not oversubscribed.</w:t>
      </w:r>
    </w:p>
    <w:p>
      <w:pPr>
        <w:pStyle w:val="ListBullet"/>
      </w:pPr>
      <w:r>
        <w:t>Scenario demand (illustrative): 10.4%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plan_tech_media.json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1.25% on net assets</w:t>
            </w:r>
          </w:p>
        </w:tc>
        <w:tc>
          <w:tcPr>
            <w:tcW w:type="dxa" w:w="2880"/>
          </w:tcPr>
          <w:p>
            <w:r>
              <w:t>extracted-unverified</w:t>
            </w:r>
          </w:p>
        </w:tc>
      </w:tr>
      <w:tr>
        <w:tc>
          <w:tcPr>
            <w:tcW w:type="dxa" w:w="2880"/>
          </w:tcPr>
          <w:p>
            <w:r>
              <w:t>2.2 Incentive fee terms</w:t>
            </w:r>
          </w:p>
        </w:tc>
        <w:tc>
          <w:tcPr>
            <w:tcW w:type="dxa" w:w="3600"/>
          </w:tcPr>
          <w:p>
            <w:r>
              <w:t>incentive fee: 12.5% / 5% hurdle</w:t>
            </w:r>
          </w:p>
        </w:tc>
        <w:tc>
          <w:tcPr>
            <w:tcW w:type="dxa" w:w="2880"/>
          </w:tcPr>
          <w:p>
            <w:r>
              <w:t>extracted-unverified</w:t>
            </w:r>
          </w:p>
        </w:tc>
      </w:tr>
      <w:tr>
        <w:tc>
          <w:tcPr>
            <w:tcW w:type="dxa" w:w="2880"/>
          </w:tcPr>
          <w:p>
            <w:r>
              <w:t>2.3 Total expense ratio &amp; waivers</w:t>
            </w:r>
          </w:p>
        </w:tc>
        <w:tc>
          <w:tcPr>
            <w:tcW w:type="dxa" w:w="3600"/>
          </w:tcPr>
          <w:p>
            <w:r>
              <w:t>7.00% expense ratio, including the interest and financing cost of BDC leverage (FY2025, Class I)</w:t>
            </w:r>
          </w:p>
        </w:tc>
        <w:tc>
          <w:tcPr>
            <w:tcW w:type="dxa" w:w="2880"/>
          </w:tcPr>
          <w:p>
            <w:r>
              <w:t>extracted-unverified</w:t>
            </w:r>
          </w:p>
        </w:tc>
      </w:tr>
      <w:tr>
        <w:tc>
          <w:tcPr>
            <w:tcW w:type="dxa" w:w="2880"/>
          </w:tcPr>
          <w:p>
            <w:r>
              <w:t>2.4 AFFE</w:t>
            </w:r>
          </w:p>
        </w:tc>
        <w:tc>
          <w:tcPr>
            <w:tcW w:type="dxa" w:w="3600"/>
          </w:tcPr>
          <w:p>
            <w:r>
              <w:t>AFFE 0.02%</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2% &lt; 1 year</w:t>
            </w:r>
          </w:p>
        </w:tc>
        <w:tc>
          <w:tcPr>
            <w:tcW w:type="dxa" w:w="2880"/>
          </w:tcPr>
          <w:p>
            <w:r>
              <w:t>extracted-unverified</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Private credit (interval fund + non-traded BDC) (n=5). Direct-lending private credit in a non-traded BDC chassis: the same strategy as cclfx on different plumbing (150% asset-coverage leverage, discretionary quarterly tenders, monthly NAV). Admitted deliberately cross-wrapper so the caveat machinery has real work.</w:t>
      </w:r>
    </w:p>
    <w:p>
      <w:r>
        <w:t>Cohort placement (private credit cohort): mgmt fee: 50th percentile of cohort (n=5), at the median of 1.25 | expense ratio (bases differ, see notes): 70th percentile of cohort (n=5), above the median of 3.76 | repurchase cap: 50th percentile of cohort (n=5), at the median of 5. Statistics and per-member values are in the cohort artifact, membership rationales in the typed facts.</w:t>
      </w:r>
    </w:p>
    <w:p>
      <w:pPr>
        <w:pStyle w:val="ListBullet"/>
      </w:pPr>
      <w:r>
        <w:t>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media/technology company 401(k) plan (~$570M, New York).</w:t>
      </w:r>
    </w:p>
    <w:p>
      <w:pPr>
        <w:pStyle w:val="Heading1"/>
      </w:pPr>
      <w:r>
        <w:t>Provenance</w:t>
      </w:r>
    </w:p>
    <w:p>
      <w:r>
        <w:t>Cell status for this product: structured 0, extracted-unverified 26, verified 0, computed 9, partial 4, fetched 1, n/a 14,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