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Blackstone Real Estate Income Trust Inc (non-traded REIT ('34 Act reporting), CIK 1662972)</w:t>
        <w:br/>
      </w:r>
      <w:r>
        <w:t>Record as of 2026-09-04. DRAFT, generated by the build from the record. The decision memo for the same plan and product is a separate document.</w:t>
      </w:r>
    </w:p>
    <w:p>
      <w:pPr>
        <w:pStyle w:val="Heading1"/>
      </w:pPr>
      <w:r>
        <w:t>Summary</w:t>
      </w:r>
    </w:p>
    <w:p>
      <w:r>
        <w:t>Structural liquidity verdict: CONDITIONAL-WEAK (typed facts, plan-independent). Scenario verdict under this plan (ILLUSTRATIVE, default sliders): CONDITIONAL.</w:t>
      </w:r>
    </w:p>
    <w:p>
      <w:r>
        <w:t>Benchmark: Listed REIT investable proxy (VNQ) at 9/12, KS-PME 0.9064, Direct Alpha -3.22%/yr over 2022-12-31 to 2025-12-31.</w:t>
      </w:r>
    </w:p>
    <w:p>
      <w:r>
        <w:t>Flags raised by the record (each restates a typed value or verdict, with its source):</w:t>
      </w:r>
    </w:p>
    <w:p>
      <w:pPr>
        <w:pStyle w:val="ListBullet"/>
      </w:pPr>
      <w:r>
        <w:t>Liquidity: gating precedent, repurchases prorated under stress (cell 3.3)</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KS-PME 0.9064, Direct Alpha -3.22%/yr, 2022-12-31 to 2025-12-31</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selected</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composite, non-traded real estate cohort without Blackstone Real Estate Income Trust Inc (members: JLL Income Property Trust, Inc., Starwood Real Estate Income Trust, Inc.)</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monthly with caps of 2% per month and 5% per quarter on aggregate NAV.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monthly repurchases, 2% cap per month and 5% cap per quarter on aggregate NAV</w:t>
            </w:r>
          </w:p>
        </w:tc>
        <w:tc>
          <w:tcPr>
            <w:tcW w:type="dxa" w:w="1152"/>
          </w:tcPr>
          <w:p>
            <w:r>
              <w:t>3.1</w:t>
            </w:r>
          </w:p>
        </w:tc>
      </w:tr>
      <w:tr>
        <w:tc>
          <w:tcPr>
            <w:tcW w:type="dxa" w:w="2448"/>
          </w:tcPr>
          <w:p>
            <w:r>
              <w:t>Repurchase caps</w:t>
            </w:r>
          </w:p>
        </w:tc>
        <w:tc>
          <w:tcPr>
            <w:tcW w:type="dxa" w:w="5760"/>
          </w:tcPr>
          <w:p>
            <w:r>
              <w:t>2% per month and 5% per quarter, binding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 but this issuer HAS prorated under stress (3.3).</w:t>
      </w:r>
    </w:p>
    <w:p>
      <w:r>
        <w:t>Scenario verdict (ILLUSTRATIVE, this plan): CONDITIONAL.</w:t>
      </w:r>
    </w:p>
    <w:p>
      <w:pPr>
        <w:pStyle w:val="ListBullet"/>
      </w:pPr>
      <w:r>
        <w:t>Capacity: 2% per month and 5% per quarter on aggregate NAV: the binding annual figure is 20% of the position per year (the quarterly cap).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n/a</w:t>
            </w:r>
          </w:p>
        </w:tc>
        <w:tc>
          <w:tcPr>
            <w:tcW w:type="dxa" w:w="2880"/>
          </w:tcPr>
          <w:p>
            <w:r>
              <w:t>n/a - not publicly available: no TER disclosure exists for a '34-Act REIT (10-K prints no expense ratio - zero hits in FY2025 10-K and Q2 2026 10-Q); fee burden components extracted in 2.1/2.2/2.6</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Non-traded NAV REITs (n=3). Non-traded monthly-NAV REIT with 2%/5% repurchase plan - the cohort's reference member.</w:t>
      </w:r>
    </w:p>
    <w:p>
      <w:r>
        <w:t>Cohort placement (non-traded real estate cohort): mgmt fee: at the cohort median of 1.25 (n=3, too small for percentile language) | expense ratio (bases differ, see notes): fact unavailable for this member | repurchase cap: at the cohort median of 2 (n=3, too small for percentile language). Statistics and per-member values are in the cohort artifact, membership rationales in the typed 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20, verified 0, computed 13, partial 8,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