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media/technology company 401(k) plan (~$570M, New York)</w:t>
        <w:br/>
      </w:r>
      <w:r>
        <w:t>Product: Blackstone Real Estate Income Trust Inc (non-traded REIT ('34 Act reporting), CIK 1662972)</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The verbatim text of paragraphs (g) to (l) is not yet in this build. The Federal Register document is linked above.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0.91 vs VNQ.</w:t>
            </w:r>
          </w:p>
          <w:p>
            <w:r>
              <w:t>1.1 Net total return series (extracted-unverified): FULL printed monthly NAV/share series, Class I, Jan 2023 - Dec 2025 (36 points) + Jun 2026 from the 10-Q - structured at the monthly NAV series on record (adversarially verified vs raw HTML; Jan-May 2026 not printed anywhere, NOT interpolated).</w:t>
            </w:r>
          </w:p>
          <w:p>
            <w:r>
              <w:t>1.2 Trailing &amp; calendar-year returns (extracted-unverified): FY2025 10-K '2025 Highlights' table (classes in order I | S | S-2 | D | D-2 | T | T-2): Year-to-Date (2025) Total Return, without upfront selling commissions: 8.1% | 7.2% | 3.2% | 7.8% | 3.1% | 7.2% | 3.4%; assuming maximum upfront selling commissions: N/A | 3.5% | (0.3)% | 6.2% | 1.6% | 3.5% | (0.1)%.</w:t>
            </w:r>
          </w:p>
          <w:p>
            <w:r>
              <w:t>1.4 Distribution history &amp; composition (extracted-unverified): EXTENSION (tax character + per-class detail, FY2025 10-K): Distributions for the year ended December 31, 2025 were characterized for federal income tax purposes as 100% return of capital (0% ordinary income, 0% capital gains); 2024: 96.27% ROC / 3.73% capital gains; 2023: 85.01% ROC / 14.99% capital gains.</w:t>
            </w:r>
          </w:p>
          <w:p>
            <w:r>
              <w:t>1.5 Underlying sleeve/GP performance (partial): BREIT owns real estate directly (wholly owned and via JVs) - there are no underlying GP funds, so no underlying fund IRR table exists in the filings.</w:t>
            </w:r>
          </w:p>
          <w:p>
            <w:r>
              <w:t>1.6 Volatility &amp; max drawdown (computed): Computed from the fund's own PRINTED monthly NAV path (Class I, 2023-01-31 to 2025-12-31 (contiguous monthly), n=35 monthly returns): annualized NAV-path volatility 2.41%; max NAV-path drawdown -7.93%.</w:t>
            </w:r>
          </w:p>
          <w:p>
            <w:r>
              <w:t>1.7 De-smoothed volatility (computed): De-smoothed (Geltner AR1) annualized NAV-path volatility: 4.12% vs 2.41% observed (rho 0.483).</w:t>
            </w:r>
          </w:p>
          <w:p>
            <w:r>
              <w:t>1.8 Risk-adjusted metrics (PME etc) (computed): Primary Listed REIT investable proxy (VNQ): KS-PME 0.9064 and Direct Alpha -3.22%/yr over 2022-12-31 to 2025-12-31 (series comparison), fund growth 1.0971x vs proxy growth 1.2104x on two-point flows (one contribution at the window start, one valuation at the end), fund return source: filed fiscal-year returns.</w:t>
            </w:r>
          </w:p>
          <w:p>
            <w:r>
              <w:t>1.9 Stress-window performance (computed): Stress observation from the printed fiscal-year returns on record.</w:t>
            </w:r>
          </w:p>
          <w:p>
            <w:r>
              <w:t>1.11 Track record &amp; manager tenure (partial): PARTIAL: no named individual portfolio managers or 'has managed since' dates exist in the 10-K (externally managed REIT; Part III/Item 10 director-officer bios incorporated by reference to proxy statement to be filed by April 30, 2026).</w:t>
            </w:r>
          </w:p>
          <w:p>
            <w:r>
              <w:t>Not applicable: 1.3 no gross/net expense-ratio or financial-highlights disclosure exists for a '34-Act non-traded REIT, and no fee-waiver/expense-support arrangement is disclosed, so no gross-vs-net spread exists to extract. 1.10 not exchange-listed.</w:t>
            </w:r>
          </w:p>
        </w:tc>
      </w:tr>
      <w:tr>
        <w:tc>
          <w:tcPr>
            <w:tcW w:type="dxa" w:w="1728"/>
          </w:tcPr>
          <w:p>
            <w:r>
              <w:t>2. Fees (h)</w:t>
            </w:r>
          </w:p>
        </w:tc>
        <w:tc>
          <w:tcPr>
            <w:tcW w:type="dxa" w:w="7632"/>
          </w:tcPr>
          <w:p>
            <w:r>
              <w:t>Typed facts: 2.1 1.25% on NAV. 2.4 no AFFE line. 2.7 early repurchase fee: 2% &lt; 1 year.</w:t>
            </w:r>
          </w:p>
          <w:p>
            <w:r>
              <w:t>2.1 Management fee (rate AND base) (extracted-unverified): 1.25% of NAV per annum, payable monthly (can be paid in cash or shares).</w:t>
            </w:r>
          </w:p>
          <w:p>
            <w:r>
              <w:t>2.2 Incentive fee terms (partial): Performance participation w/ hurdle + high-water mechanics - AND a live miss: FY2024 total return did not exceed the hurdle, producing a $105.0M Quarterly Shortfall; from 1/1/2025 the 2024 Shortfall Obligation accrues 5% annual interest compounded quarterly.</w:t>
            </w:r>
          </w:p>
          <w:p>
            <w:r>
              <w:t>2.4 AFFE (extracted-unverified): Not applicable — none exists: BREIT is a 10-K filer (non-'40-Act REIT) with no 1940-Act-style fee table; no 'Acquired Fund Fees and Expenses' line exists and none can (AFFE is a 1940-Act registered-fund disclosure).</w:t>
            </w:r>
          </w:p>
          <w:p>
            <w:r>
              <w:t>2.6 Loads &amp; servicing fees (extracted-unverified): As of December 31, 2025 (Item 5 table): selling commissions and dealer manager fees (% of transaction price) up to 3.5% for Class S, S-2, T, T-2; up to 1.5% for Class D, D-2.</w:t>
            </w:r>
          </w:p>
          <w:p>
            <w:r>
              <w:t>2.7 Early repurchase fee (extracted-unverified): Early Repurchase Deduction: shares held less than one year are repurchased at 98% of the transaction price, i.e. a 2% deduction, subject to limited exceptions.</w:t>
            </w:r>
          </w:p>
          <w:p>
            <w:r>
              <w:t>2.9 Fee peer percentile (computed): Cohort placement (non-traded real estate cohort): mgmt fee: at the cohort median of 1.25 (n=3, too small for percentile language) | expense ratio (bases differ, see notes): fact unavailable for this member | repurchase cap: at the cohort median of 2 (n=3, too small for percentile language).</w:t>
            </w:r>
          </w:p>
          <w:p>
            <w:r>
              <w:t>Not applicable: 2.3 no TER disclosure exists for a '34-Act REIT (10-K prints no expense ratio - zero hits in FY2025 10-K and Q2 2026 10-Q); fee burden components extracted in 2.1/2.2/2.6. 2.5 BREIT owns real estate directly, not through third-party GP funds; where JV partners or real-estate-issuer managers earn promote/fees beneath BREIT, those economics are private joint-venture and portfolio-entity contract terms - the 10-K acknowledges them only qualitatively, with no rates or ranges printed.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monthly dealing, 2% cap per month and 5% cap per quarter on aggregate NAV. 3.3 gating history: yes, prorated under stress. 3.9 structural verdict conditional-weak, plan-independent.</w:t>
            </w:r>
          </w:p>
          <w:p>
            <w:r>
              <w:t>3.1 Wrapper liquidity terms (extracted-unverified): Repurchase caps: 2% of aggregate NAV per MONTH, 5% per QUARTER (measured on prior-period NAV; Early Repurchase Deduction excluded).</w:t>
            </w:r>
          </w:p>
          <w:p>
            <w:r>
              <w:t>3.2 Repurchase mechanics (partial): Mechanics as printed in FY2025 10-K (Item 5 - Share Repurchases; repeated in Note 14): CADENCE/PRICING DATE - repurchases only as of the opening of the last calendar day of each month (the 'Repurchase Date'); price = transaction price in effect on the Repurchase Date, generally the prior month's NAV per share, with a sole-discretion exception to reprice where NAV materially changed.</w:t>
            </w:r>
          </w:p>
          <w:p>
            <w:r>
              <w:t>3.3 Repurchase history (extracted-unverified): Quantified from FY2025 10-K: common stock repurchased FY2023 $12.42B -&gt; FY2024 $9.31B -&gt; FY2025 $6.13B (cash-flow statement $000s: 12,419,310 / 9,307,418 / 6,132,773) - a declining exit wave.</w:t>
            </w:r>
          </w:p>
          <w:p>
            <w:r>
              <w:t>3.4 Portfolio liquidity profile (extracted-unverified): Liquidity of $6.7 billion as of February 26, 2026: $5.6 billion available under undrawn revolving credit facilities plus $1.1 billion unrestricted cash and cash equivalents; also $0.2 billion expected disposition proceeds under contract.</w:t>
            </w:r>
          </w:p>
          <w:p>
            <w:r>
              <w:t>3.6 Fund leverage &amp; facilities (extracted-unverified): Charter leverage limit: borrowing capped at 300% of cost of net assets (approx 75% of cost of investments) absent independent-director override with disclosure.</w:t>
            </w:r>
          </w:p>
          <w:p>
            <w:r>
              <w:t>3.7 Plan participant liquidity demand (computed): Plan-side demand profile (Form 5500 PY2024): 1,847 separated-with-balances = 36.1% of 5,120 accounts - the near-term liquidity tail; 3,281 active; zero retirees in pay status; 404(c) fully participant-directed.</w:t>
            </w:r>
          </w:p>
          <w:p>
            <w:r>
              <w:t>3.8 Redemption stress test (computed): ILLUSTRATIVE redemption stress test (computed for all four reference plans): tail turnover x2, active turnover x1.5 vs base scenario, default sliders allocation 5% of plan, tail turnover 20%/yr, active turnover 5%/yr.</w:t>
            </w:r>
          </w:p>
          <w:p>
            <w:r>
              <w:t>3.9 Product-to-plan liquidity match (computed): Structural liquidity verdict CONDITIONAL-WEAK (typed facts, cells 3.1, 3.3, 2.7, plan-independent).</w:t>
            </w:r>
          </w:p>
          <w:p>
            <w:r>
              <w:t>Not applicable: 3.5 CIT only.</w:t>
            </w:r>
          </w:p>
        </w:tc>
      </w:tr>
      <w:tr>
        <w:tc>
          <w:tcPr>
            <w:tcW w:type="dxa" w:w="1728"/>
          </w:tcPr>
          <w:p>
            <w:r>
              <w:t>4. Valuation (j)</w:t>
            </w:r>
          </w:p>
        </w:tc>
        <w:tc>
          <w:tcPr>
            <w:tcW w:type="dxa" w:w="7632"/>
          </w:tcPr>
          <w:p>
            <w:r>
              <w:t>Typed facts: 4.5 Deloitte &amp; Touche LLP (Big 4).</w:t>
            </w:r>
          </w:p>
          <w:p>
            <w:r>
              <w:t>4.1 Valuation policy &amp; NAV frequency (extracted-unverified): NAV frequency: monthly — 'We calculate and publish NAV monthly' solely for establishing monthly sale/repurchase price.</w:t>
            </w:r>
          </w:p>
          <w:p>
            <w:r>
              <w:t>4.2 Fair-value hierarchy (L1/2/3) (extracted-unverified): Recurring fair-value table ($K).</w:t>
            </w:r>
          </w:p>
          <w:p>
            <w:r>
              <w:t>4.3 Independent valuation agent (partial): PARTIAL: the 10-K repeatedly references 'an independent valuation advisor' that reviews monthly property valuations and monthly/quarterly real estate debt valuations for reasonableness (and reviews Adviser valuation assumptions such as discount/exit cap rates), and 'independent third-party appraisal firm(s)' performing annual per-property appraisals — but NO firm is NAMED anywhere in the on-disk 10-K (FY2025) or 10-Q (Q2 2026).</w:t>
            </w:r>
          </w:p>
          <w:p>
            <w:r>
              <w:t>4.4 Methodology by asset type (extracted-unverified): COMPLETE weighted-average DCF assumptions by property type (12/31/2025): Rental Housing 7.2% discount / 5.4% exit cap; Industrial 7.5% / 5.5%; Net Lease 6.6% / 5.6%; Hospitality 10.8% / 9.0%; Data Centers 8.3% / 6.1%; Self Storage 8.5% / 6.5%; Office 7.8% / 5.6%; Retail 7.9% / 6.3%.</w:t>
            </w:r>
          </w:p>
          <w:p>
            <w:r>
              <w:t>4.5 Auditor &amp; opinion (extracted-unverified): Deloitte &amp; Touche LLP, New York; auditor since 2016 (Big-4).</w:t>
            </w:r>
          </w:p>
          <w:p>
            <w:r>
              <w:t>4.6 NAV restatement history (extracted-unverified): None identified: searched stripped 10-K (FY2025, filed 2026-02-27) and stripped 10-Q (Q2 2026, filed 2026-08-07) for 'restat', 'error correction', and 'reprocess'.</w:t>
            </w:r>
          </w:p>
          <w:p>
            <w:r>
              <w:t>4.8 Smoothing diagnostics (computed): Smoothing diagnostics on the printed monthly NAV path: lag-1 autocorrelation rho = 0.483 (n=35) - HEAVY smoothing (compare CCLFX rho 0.139).</w:t>
            </w:r>
          </w:p>
          <w:p>
            <w:r>
              <w:t>Not applicable: 4.7 not exchange-listed. 4.9 CIT only.</w:t>
            </w:r>
          </w:p>
        </w:tc>
      </w:tr>
      <w:tr>
        <w:tc>
          <w:tcPr>
            <w:tcW w:type="dxa" w:w="1728"/>
          </w:tcPr>
          <w:p>
            <w:r>
              <w:t>5. Performance Benchmarks (k)</w:t>
            </w:r>
          </w:p>
        </w:tc>
        <w:tc>
          <w:tcPr>
            <w:tcW w:type="dxa" w:w="7632"/>
          </w:tcPr>
          <w:p>
            <w:r>
              <w:t>Typed facts: 5.3 VNQ selected, 9/12.</w:t>
            </w:r>
          </w:p>
          <w:p>
            <w:r>
              <w:t>5.1 Self-declared benchmark (extracted-unverified): ABSENCE DOCUMENTED: BREIT declares NO benchmark index anywhere in the FY2025 10-K.</w:t>
            </w:r>
          </w:p>
          <w:p>
            <w:r>
              <w:t>5.3 Alt asset-class indices (computed): Benchmark candidates evaluated by the engine (Tark benchmark rubric, 12 points, threshold 7 of 12, strategy gate below 2 of 3 ineligible).</w:t>
            </w:r>
          </w:p>
          <w:p>
            <w:r>
              <w:t>5.4 Peer universe &amp; returns (computed): Peer cohort: non-traded real estate cohort (n=3: Blackstone Real Estate Income Trust Inc, Starwood Real Estate Income Trust, Inc., JLL Income Property Trust, Inc.).</w:t>
            </w:r>
          </w:p>
          <w:p>
            <w:r>
              <w:t>5.5 PME / Direct Alpha inputs (computed): PME inputs (computed, public market proxy Listed REIT investable proxy (VNQ), primary slot): window 2022-12-31 to 2025-12-31 (series comparison).</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non-traded REIT.</w:t>
            </w:r>
          </w:p>
          <w:p>
            <w:r>
              <w:t>6.1 Structure map (extracted-unverified): Blackstone Real Estate Income Trust, Inc.: Maryland corporation incorporated November 16, 2015; non-listed, perpetual-life REIT (REIT election commencing taxable year ended December 31, 2017).</w:t>
            </w:r>
          </w:p>
          <w:p>
            <w:r>
              <w:t>6.2 Strategy &amp; instrument complexity (extracted-unverified): Strategy: invests primarily in stabilized, income-generating commercial real estate across asset classes in the U.S. (and to a lesser extent outside the U.S.), plus real estate debt to a lesser extent.</w:t>
            </w:r>
          </w:p>
          <w:p>
            <w:r>
              <w:t>6.3 Conflicts &amp; affiliated transactions (extracted-unverified): Note 10 'Related Party and Other Transactions' (FY2025): Due to affiliates $791,741K at Dec 31, 2025 (accrued stockholder servicing fee $724,771K; accrued management fee $56,818K; other $10,152K).</w:t>
            </w:r>
          </w:p>
          <w:p>
            <w:r>
              <w:t>6.4 Tax reporting (1099 vs K-1) (partial): PARTIAL: investor tax form NOT named in on-disk filings - searched 10-K 2026-02-27 and 10-Q 2026-08-07 for '1099'/'K-1'/'Schedule K': only XBRL context-id artifacts, no Form 1099 text.</w:t>
            </w:r>
          </w:p>
          <w:p>
            <w:r>
              <w:t>6.5 Service-provider web (partial): PARTIAL: names as printed in 10-K — Auditor: Deloitte &amp; Touche LLP, New York, New York (auditor since 2016; PCAOB ID No. 34).</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pPr>
        <w:pStyle w:val="Heading2"/>
      </w:pPr>
      <w:r>
        <w:t>Primary: Listed REIT investable proxy (VNQ) (score 9/12)</w:t>
      </w:r>
    </w:p>
    <w:p>
      <w:r>
        <w:t>Window 2022-12-31 to 2025-12-31: fund 3.14%/yr (filed fiscal-year returns) vs public proxy 6.57%/yr, KS-PME 0.9064, Direct Alpha -3.22%/yr.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ListBullet"/>
      </w:pPr>
      <w:r>
        <w:t>strategy_match 2/3: the public-market version of the asset class (listed REITs for core-plus non-traded real estate)</w:t>
      </w:r>
    </w:p>
    <w:p>
      <w:pPr>
        <w:pStyle w:val="ListBullet"/>
      </w:pPr>
      <w:r>
        <w:t>risk_liquidity_match 1/3: daily-liquid market proxy vs a semi-liquid NAV fund, vol and liquidity regimes differ</w:t>
      </w:r>
    </w:p>
    <w:p>
      <w:pPr>
        <w:pStyle w:val="ListBullet"/>
      </w:pPr>
      <w:r>
        <w:t>investability 2/2: computable on held data (daily series)</w:t>
      </w:r>
    </w:p>
    <w:p>
      <w:pPr>
        <w:pStyle w:val="ListBullet"/>
      </w:pPr>
      <w:r>
        <w:t>data_quality 2/2: daily series held</w:t>
      </w:r>
    </w:p>
    <w:p>
      <w:pPr>
        <w:pStyle w:val="ListBullet"/>
      </w:pPr>
      <w:r>
        <w:t>provider_independence 2/2: provider unaffiliated with the fund (Vanguard / MSCI US REIT): the registry affiliation map ties it to none of the fund's advisers</w:t>
      </w:r>
    </w:p>
    <w:p>
      <w:pPr>
        <w:pStyle w:val="Heading2"/>
      </w:pPr>
      <w:r>
        <w:t>Secondary: NCREIF Fund Index - ODCE (private core RE) (score 7/12)</w:t>
      </w:r>
    </w:p>
    <w:p>
      <w:pPr>
        <w:pStyle w:val="ListBullet"/>
      </w:pPr>
      <w:r>
        <w:t>strategy_match 3/3: a private-market index of real estate for a core-plus non-traded real estate fund</w:t>
      </w:r>
    </w:p>
    <w:p>
      <w:pPr>
        <w:pStyle w:val="ListBullet"/>
      </w:pPr>
      <w:r>
        <w:t>risk_liquidity_match 2/3: NAV-class series, quarterly observations vs the fund's annual return data and an index, not a fund set, so leverage regime is not comparable</w:t>
      </w:r>
    </w:p>
    <w:p>
      <w:pPr>
        <w:pStyle w:val="ListBullet"/>
      </w:pPr>
      <w:r>
        <w:t>investability 0/2: index cited, series not held, not computable</w:t>
      </w:r>
    </w:p>
    <w:p>
      <w:pPr>
        <w:pStyle w:val="ListBullet"/>
      </w:pPr>
      <w:r>
        <w:t>data_quality 0/2: cited, not computed</w:t>
      </w:r>
    </w:p>
    <w:p>
      <w:pPr>
        <w:pStyle w:val="ListBullet"/>
      </w:pPr>
      <w:r>
        <w:t>provider_independence 2/2: provider unaffiliated with the fund (NCREIF): the registry affiliation map ties it to none of the fund's advisers</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Cambridge Associates Real Estate benchmark</w:t>
            </w:r>
          </w:p>
        </w:tc>
        <w:tc>
          <w:tcPr>
            <w:tcW w:type="dxa" w:w="1152"/>
          </w:tcPr>
          <w:p>
            <w:r>
              <w:t>7/12</w:t>
            </w:r>
          </w:p>
        </w:tc>
        <w:tc>
          <w:tcPr>
            <w:tcW w:type="dxa" w:w="4752"/>
          </w:tcPr>
          <w:p>
            <w:r>
              <w:t>outranked: score 7/12 vs primary 9/12 and secondary 7/12 (only two slots). Retained in log as viable alternate</w:t>
            </w:r>
          </w:p>
        </w:tc>
      </w:tr>
      <w:tr>
        <w:tc>
          <w:tcPr>
            <w:tcW w:type="dxa" w:w="3456"/>
          </w:tcPr>
          <w:p>
            <w:r>
              <w:t>Peer composite, non-traded real estate cohort without Blackstone Real Estate Income Trust Inc (members: JLL Income Property Trust, Inc., Starwood Real Estate Income Trust, Inc.)</w:t>
            </w:r>
          </w:p>
        </w:tc>
        <w:tc>
          <w:tcPr>
            <w:tcW w:type="dxa" w:w="1152"/>
          </w:tcPr>
          <w:p>
            <w:r>
              <w:t>3/12</w:t>
            </w:r>
          </w:p>
        </w:tc>
        <w:tc>
          <w:tcPr>
            <w:tcW w:type="dxa" w:w="4752"/>
          </w:tcPr>
          <w:p>
            <w:r>
              <w:t>score 3/12 below primary threshold 7</w:t>
            </w:r>
          </w:p>
        </w:tc>
      </w:tr>
    </w:tbl>
    <w:p>
      <w:pPr>
        <w:pStyle w:val="Heading1"/>
      </w:pPr>
      <w:r>
        <w:t>Product-to-plan liquidity match</w:t>
      </w:r>
    </w:p>
    <w:p>
      <w:r>
        <w:t>Plan: US media/technology company 401(k) plan (~$570M, New York). verdict is structural (typed facts, cells 3.1, 3.3, 2.7, plan-independent). scenario_verdict is ILLUSTRATIVE (demand model against the same capacity, per plan).</w:t>
      </w:r>
    </w:p>
    <w:p>
      <w:pPr>
        <w:pStyle w:val="Heading2"/>
      </w:pPr>
      <w:r>
        <w:t>Structural verdict (typed facts, plan-independent)</w:t>
      </w:r>
    </w:p>
    <w:p>
      <w:r>
        <w:t>CONDITIONAL-WEAK</w:t>
      </w:r>
    </w:p>
    <w:p>
      <w:pPr>
        <w:pStyle w:val="ListBullet"/>
      </w:pPr>
      <w:r>
        <w:t>STRUCTURAL GAP: a participant-directed 404(c) menu assumes daily pricing and daily participant liquidity, whereas this wrapper deals monthly with caps of 2% per month and 5% per quarter on aggregate NAV. Direct DIA use requires a bridging structure: CIT sleeve, managed account, or TDF sleeve (cell 3.5).</w:t>
      </w:r>
    </w:p>
    <w:p>
      <w:pPr>
        <w:pStyle w:val="ListBullet"/>
      </w:pPr>
      <w:r>
        <w:t>Gating precedent: this issuer has prorated repurchases when requests exceeded caps (3.3). Capacity on paper has failed in stress before.</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REIT</w:t>
            </w:r>
          </w:p>
        </w:tc>
        <w:tc>
          <w:tcPr>
            <w:tcW w:type="dxa" w:w="1152"/>
          </w:tcPr>
          <w:p>
            <w:r>
              <w:t>6.1</w:t>
            </w:r>
          </w:p>
        </w:tc>
      </w:tr>
      <w:tr>
        <w:tc>
          <w:tcPr>
            <w:tcW w:type="dxa" w:w="2448"/>
          </w:tcPr>
          <w:p>
            <w:r>
              <w:t>Dealing terms</w:t>
            </w:r>
          </w:p>
        </w:tc>
        <w:tc>
          <w:tcPr>
            <w:tcW w:type="dxa" w:w="5760"/>
          </w:tcPr>
          <w:p>
            <w:r>
              <w:t>monthly repurchases, 2% cap per month and 5% cap per quarter on aggregate NAV</w:t>
            </w:r>
          </w:p>
        </w:tc>
        <w:tc>
          <w:tcPr>
            <w:tcW w:type="dxa" w:w="1152"/>
          </w:tcPr>
          <w:p>
            <w:r>
              <w:t>3.1</w:t>
            </w:r>
          </w:p>
        </w:tc>
      </w:tr>
      <w:tr>
        <w:tc>
          <w:tcPr>
            <w:tcW w:type="dxa" w:w="2448"/>
          </w:tcPr>
          <w:p>
            <w:r>
              <w:t>Repurchase caps</w:t>
            </w:r>
          </w:p>
        </w:tc>
        <w:tc>
          <w:tcPr>
            <w:tcW w:type="dxa" w:w="5760"/>
          </w:tcPr>
          <w:p>
            <w:r>
              <w:t>2% per month and 5% per quarter, binding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yes, prorated under stress</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bl>
    <w:p>
      <w:pPr>
        <w:pStyle w:val="Heading2"/>
      </w:pPr>
      <w:r>
        <w:t>Scenario (ILLUSTRATIVE, this plan)</w:t>
      </w:r>
    </w:p>
    <w:p>
      <w:r>
        <w:t>Plan inputs (Form 5500): net assets $565.8M, liquidity tail 36.1% of accounts (1,847 separated participants with balances).</w:t>
      </w:r>
    </w:p>
    <w:p>
      <w:r>
        <w:t>Parameters (adjustable on the site, not facts): allocation 5% of plan = $28.3M, tail turnover 20%/yr, active turnover 5%/yr. Base demand $2.9M/yr = 10.4% of the position vs annual wrapper capacity 20%.</w:t>
      </w:r>
    </w:p>
    <w:p>
      <w:r>
        <w:t>Stressed (tail turnover x2, active turnover x1.5 vs base scenario): demand $5.4M/yr = 19.2% of the position. within wrapper capacity (19.2% vs 20%) IF offers are not prorated, but this issuer HAS prorated under stress (3.3).</w:t>
      </w:r>
    </w:p>
    <w:p>
      <w:r>
        <w:t>Scenario verdict (ILLUSTRATIVE, this plan): CONDITIONAL.</w:t>
      </w:r>
    </w:p>
    <w:p>
      <w:pPr>
        <w:pStyle w:val="ListBullet"/>
      </w:pPr>
      <w:r>
        <w:t>Capacity: 2% per month and 5% per quarter on aggregate NAV: the binding annual figure is 20% of the position per year (the quarterly cap). This is a FUND-level cap shared by every holder, so the plan's position is served only while offers are not oversubscribed.</w:t>
      </w:r>
    </w:p>
    <w:p>
      <w:pPr>
        <w:pStyle w:val="ListBullet"/>
      </w:pPr>
      <w:r>
        <w:t>Scenario demand (illustrative): 10.4%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benefit-payment lines are not yet in the plan record. Demand uses the illustrative turnover sliders only.</w:t>
      </w:r>
    </w:p>
    <w:p>
      <w:r>
        <w:t>Cited: cell 2.7, cell 3.1, cell 3.3, cell 3.7, plan: plan_tech_media.json (Form 5500, plan year 2024-01-01 to 2024-12-31).</w:t>
      </w:r>
    </w:p>
    <w:p>
      <w:pPr>
        <w:pStyle w:val="Heading1"/>
      </w:pPr>
      <w:r>
        <w:t>Peer cohort placement</w:t>
      </w:r>
    </w:p>
    <w:p>
      <w:r>
        <w:t>Evidence depth tier: FULL. Cohort: Non-traded NAV REITs (n=3). Membership rationale: Non-traded monthly-NAV REIT with 2%/5% repurchase plan - the cohort's reference member.</w:t>
      </w:r>
    </w:p>
    <w:p>
      <w:r>
        <w:t>Cohort placement (non-traded real estate cohort): mgmt fee: at the cohort median of 1.25 (n=3, too small for percentile language) | expense ratio (bases differ, see notes): fact unavailable for this member | repurchase cap: at the cohort median of 2 (n=3, too small for percentile language). Statistics and per-member values are in the cohort artifact, membership rationales in the typed facts.</w:t>
      </w:r>
    </w:p>
    <w:p>
      <w:pPr>
        <w:pStyle w:val="ListBullet"/>
      </w:pPr>
      <w:r>
        <w:t>Caveat: NAV-CADENCE MIX: daily, monthly, and quarterly NAV processes embed different appraisal smoothing. Volatility and drawdown comparisons inherit that difference (see de-smoothing lab). [typed per product: breit: monthly, jll_ipt: daily, sreit: monthly]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CONDITIONAL-WEAK (typed facts, plan-independent). Scenario verdict under US media/technology company 401(k) plan (~$570M, New York) (ILLUSTRATIVE): CONDITIONAL.</w:t>
      </w:r>
    </w:p>
    <w:p>
      <w:r>
        <w:t>Benchmark: Listed REIT investable proxy (VNQ) selected as primary at 9/12, secondary NCREIF Fund Index - ODCE (private core RE) at 7/12.</w:t>
      </w:r>
    </w:p>
    <w:p>
      <w:r>
        <w:t>Flags raised by the record (each restates a typed value or verdict already in the artifacts, with its source):</w:t>
      </w:r>
    </w:p>
    <w:p>
      <w:pPr>
        <w:pStyle w:val="ListBullet"/>
      </w:pPr>
      <w:r>
        <w:t>Liquidity: gating precedent, repurchases prorated under stress (cell 3.3)</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20, verified 0, computed 13, partial 8, fetched 1, n/a 12, pending 0. 42 of 42 resolvable, 0 verified, 12 n/a by wrapper.</w:t>
      </w:r>
    </w:p>
    <w:p>
      <w:r>
        <w:t>Of the 41 evidenced cells, 41 carry a source document, 41 a section, 28 a verbatim quote (computed cells carry their computation and inputs instead of a quote) and 41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10-K FY2025 (filed 2026-02-27) Item 5 'Offering of Common Stock' monthly NAV table; 10-Q Q2-2026 (filed 2026-08-07) NAV-by-class table</w:t>
            </w:r>
          </w:p>
        </w:tc>
        <w:tc>
          <w:tcPr>
            <w:tcW w:type="dxa" w:w="5184"/>
          </w:tcPr>
          <w:p>
            <w:r>
              <w:t>10-K 2026-02-27 accession 0001662972-26-000032 https://www.sec.gov/Archives/edgar/data/1662972/000166297226000032/breit-20251231.htm</w:t>
            </w:r>
          </w:p>
          <w:p>
            <w:r>
              <w:t>10-Q 2026-08-07 accession 0001662972-26-000111 https://www.sec.gov/Archives/edgar/data/1662972/000166297226000111/breit-20260630.htm</w:t>
            </w:r>
          </w:p>
        </w:tc>
      </w:tr>
      <w:tr>
        <w:tc>
          <w:tcPr>
            <w:tcW w:type="dxa" w:w="720"/>
          </w:tcPr>
          <w:p>
            <w:r>
              <w:t>1.2</w:t>
            </w:r>
          </w:p>
        </w:tc>
        <w:tc>
          <w:tcPr>
            <w:tcW w:type="dxa" w:w="3456"/>
          </w:tcPr>
          <w:p>
            <w:r>
              <w:t>Form 10-K FY2025 (filed 2026-02-27), Item 7 MD&amp;A - 2025 Highlights; Form 10-Q for quarter ended June 30, 2026 (filed 2026-08-07), MD&amp;A - Q2 2026 Highlights</w:t>
            </w:r>
          </w:p>
        </w:tc>
        <w:tc>
          <w:tcPr>
            <w:tcW w:type="dxa" w:w="5184"/>
          </w:tcPr>
          <w:p>
            <w:r>
              <w:t>10-K 2026-02-27 accession 0001662972-26-000032 https://www.sec.gov/Archives/edgar/data/1662972/000166297226000032/breit-20251231.htm</w:t>
            </w:r>
          </w:p>
          <w:p>
            <w:r>
              <w:t>10-Q 2026-08-07 accession 0001662972-26-000111 https://www.sec.gov/Archives/edgar/data/1662972/000166297226000111/breit-20260630.htm</w:t>
            </w:r>
          </w:p>
        </w:tc>
      </w:tr>
      <w:tr>
        <w:tc>
          <w:tcPr>
            <w:tcW w:type="dxa" w:w="720"/>
          </w:tcPr>
          <w:p>
            <w:r>
              <w:t>1.4</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1.5</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1.6</w:t>
            </w:r>
          </w:p>
        </w:tc>
        <w:tc>
          <w:tcPr>
            <w:tcW w:type="dxa" w:w="3456"/>
          </w:tcPr>
          <w:p>
            <w:r>
              <w:t>the analytics supplement artifact (stress windows) (breit_monthly_diagnostics)</w:t>
            </w:r>
          </w:p>
        </w:tc>
        <w:tc>
          <w:tcPr>
            <w:tcW w:type="dxa" w:w="5184"/>
          </w:tcPr>
          <w:p>
            <w:r>
              <w:t>accession not on record: no filing reference in the source field</w:t>
            </w:r>
          </w:p>
        </w:tc>
      </w:tr>
      <w:tr>
        <w:tc>
          <w:tcPr>
            <w:tcW w:type="dxa" w:w="720"/>
          </w:tcPr>
          <w:p>
            <w:r>
              <w:t>1.7</w:t>
            </w:r>
          </w:p>
        </w:tc>
        <w:tc>
          <w:tcPr>
            <w:tcW w:type="dxa" w:w="3456"/>
          </w:tcPr>
          <w:p>
            <w:r>
              <w:t>the analytics supplement artifact (stress windows) (breit_monthly_diagnostics)</w:t>
            </w:r>
          </w:p>
        </w:tc>
        <w:tc>
          <w:tcPr>
            <w:tcW w:type="dxa" w:w="5184"/>
          </w:tcPr>
          <w:p>
            <w:r>
              <w:t>accession not on record: no filing reference in the source field</w:t>
            </w:r>
          </w:p>
        </w:tc>
      </w:tr>
      <w:tr>
        <w:tc>
          <w:tcPr>
            <w:tcW w:type="dxa" w:w="720"/>
          </w:tcPr>
          <w:p>
            <w:r>
              <w:t>1.8</w:t>
            </w:r>
          </w:p>
        </w:tc>
        <w:tc>
          <w:tcPr>
            <w:tcW w:type="dxa" w:w="3456"/>
          </w:tcPr>
          <w:p>
            <w:r>
              <w:t>benchmark selection artifact (Blackstone Real Estate Income Trust Inc)</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1.11</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2.1</w:t>
            </w:r>
          </w:p>
        </w:tc>
        <w:tc>
          <w:tcPr>
            <w:tcW w:type="dxa" w:w="3456"/>
          </w:tcPr>
          <w:p>
            <w:r>
              <w:t>10-K 2026-02-27 (FY2025)</w:t>
            </w:r>
          </w:p>
        </w:tc>
        <w:tc>
          <w:tcPr>
            <w:tcW w:type="dxa" w:w="5184"/>
          </w:tcPr>
          <w:p>
            <w:r>
              <w:t>10-K 2026-02-27 accession 0001662972-26-000032 https://www.sec.gov/Archives/edgar/data/1662972/000166297226000032/breit-20251231.htm</w:t>
            </w:r>
          </w:p>
        </w:tc>
      </w:tr>
      <w:tr>
        <w:tc>
          <w:tcPr>
            <w:tcW w:type="dxa" w:w="720"/>
          </w:tcPr>
          <w:p>
            <w:r>
              <w:t>2.2</w:t>
            </w:r>
          </w:p>
        </w:tc>
        <w:tc>
          <w:tcPr>
            <w:tcW w:type="dxa" w:w="3456"/>
          </w:tcPr>
          <w:p>
            <w:r>
              <w:t>10-K 2026-02-27 (FY2025)</w:t>
            </w:r>
          </w:p>
        </w:tc>
        <w:tc>
          <w:tcPr>
            <w:tcW w:type="dxa" w:w="5184"/>
          </w:tcPr>
          <w:p>
            <w:r>
              <w:t>10-K 2026-02-27 accession 0001662972-26-000032 https://www.sec.gov/Archives/edgar/data/1662972/000166297226000032/breit-20251231.htm</w:t>
            </w:r>
          </w:p>
        </w:tc>
      </w:tr>
      <w:tr>
        <w:tc>
          <w:tcPr>
            <w:tcW w:type="dxa" w:w="720"/>
          </w:tcPr>
          <w:p>
            <w:r>
              <w:t>2.4</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2.6</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2.7</w:t>
            </w:r>
          </w:p>
        </w:tc>
        <w:tc>
          <w:tcPr>
            <w:tcW w:type="dxa" w:w="3456"/>
          </w:tcPr>
          <w:p>
            <w:r>
              <w:t>10-K 2026-02-27 (FY2025)</w:t>
            </w:r>
          </w:p>
        </w:tc>
        <w:tc>
          <w:tcPr>
            <w:tcW w:type="dxa" w:w="5184"/>
          </w:tcPr>
          <w:p>
            <w:r>
              <w:t>10-K 2026-02-27 accession 0001662972-26-000032 https://www.sec.gov/Archives/edgar/data/1662972/000166297226000032/breit-20251231.htm</w:t>
            </w:r>
          </w:p>
        </w:tc>
      </w:tr>
      <w:tr>
        <w:tc>
          <w:tcPr>
            <w:tcW w:type="dxa" w:w="720"/>
          </w:tcPr>
          <w:p>
            <w:r>
              <w:t>2.9</w:t>
            </w:r>
          </w:p>
        </w:tc>
        <w:tc>
          <w:tcPr>
            <w:tcW w:type="dxa" w:w="3456"/>
          </w:tcPr>
          <w:p>
            <w:r>
              <w:t>cohort artifact (non-traded real estate cohort)</w:t>
            </w:r>
          </w:p>
        </w:tc>
        <w:tc>
          <w:tcPr>
            <w:tcW w:type="dxa" w:w="5184"/>
          </w:tcPr>
          <w:p>
            <w:r>
              <w:t>accession not on record: no filing reference in the source field</w:t>
            </w:r>
          </w:p>
        </w:tc>
      </w:tr>
      <w:tr>
        <w:tc>
          <w:tcPr>
            <w:tcW w:type="dxa" w:w="720"/>
          </w:tcPr>
          <w:p>
            <w:r>
              <w:t>3.1</w:t>
            </w:r>
          </w:p>
        </w:tc>
        <w:tc>
          <w:tcPr>
            <w:tcW w:type="dxa" w:w="3456"/>
          </w:tcPr>
          <w:p>
            <w:r>
              <w:t>10-K 2026-02-27 (FY2025)</w:t>
            </w:r>
          </w:p>
        </w:tc>
        <w:tc>
          <w:tcPr>
            <w:tcW w:type="dxa" w:w="5184"/>
          </w:tcPr>
          <w:p>
            <w:r>
              <w:t>10-K 2026-02-27 accession 0001662972-26-000032 https://www.sec.gov/Archives/edgar/data/1662972/000166297226000032/breit-20251231.htm</w:t>
            </w:r>
          </w:p>
        </w:tc>
      </w:tr>
      <w:tr>
        <w:tc>
          <w:tcPr>
            <w:tcW w:type="dxa" w:w="720"/>
          </w:tcPr>
          <w:p>
            <w:r>
              <w:t>3.2</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3.3</w:t>
            </w:r>
          </w:p>
        </w:tc>
        <w:tc>
          <w:tcPr>
            <w:tcW w:type="dxa" w:w="3456"/>
          </w:tcPr>
          <w:p>
            <w:r>
              <w:t>10-K 2026-02-27 (FY2025)</w:t>
            </w:r>
          </w:p>
        </w:tc>
        <w:tc>
          <w:tcPr>
            <w:tcW w:type="dxa" w:w="5184"/>
          </w:tcPr>
          <w:p>
            <w:r>
              <w:t>10-K 2026-02-27 accession 0001662972-26-000032 https://www.sec.gov/Archives/edgar/data/1662972/000166297226000032/breit-20251231.htm</w:t>
            </w:r>
          </w:p>
        </w:tc>
      </w:tr>
      <w:tr>
        <w:tc>
          <w:tcPr>
            <w:tcW w:type="dxa" w:w="720"/>
          </w:tcPr>
          <w:p>
            <w:r>
              <w:t>3.4</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3.6</w:t>
            </w:r>
          </w:p>
        </w:tc>
        <w:tc>
          <w:tcPr>
            <w:tcW w:type="dxa" w:w="3456"/>
          </w:tcPr>
          <w:p>
            <w:r>
              <w:t>10-K 2026-02-27 (FY2025)</w:t>
            </w:r>
          </w:p>
        </w:tc>
        <w:tc>
          <w:tcPr>
            <w:tcW w:type="dxa" w:w="5184"/>
          </w:tcPr>
          <w:p>
            <w:r>
              <w:t>10-K 2026-02-27 accession 0001662972-26-000032 https://www.sec.gov/Archives/edgar/data/1662972/000166297226000032/breit-20251231.htm</w:t>
            </w:r>
          </w:p>
        </w:tc>
      </w:tr>
      <w:tr>
        <w:tc>
          <w:tcPr>
            <w:tcW w:type="dxa" w:w="720"/>
          </w:tcPr>
          <w:p>
            <w:r>
              <w:t>3.7</w:t>
            </w:r>
          </w:p>
        </w:tc>
        <w:tc>
          <w:tcPr>
            <w:tcW w:type="dxa" w:w="3456"/>
          </w:tcPr>
          <w:p>
            <w:r>
              <w:t>the plan record on file</w:t>
            </w:r>
          </w:p>
        </w:tc>
        <w:tc>
          <w:tcPr>
            <w:tcW w:type="dxa" w:w="5184"/>
          </w:tcPr>
          <w:p>
            <w:r>
              <w:t>accession not on record: no filing reference in the source field</w:t>
            </w:r>
          </w:p>
        </w:tc>
      </w:tr>
      <w:tr>
        <w:tc>
          <w:tcPr>
            <w:tcW w:type="dxa" w:w="720"/>
          </w:tcPr>
          <w:p>
            <w:r>
              <w:t>3.8</w:t>
            </w:r>
          </w:p>
        </w:tc>
        <w:tc>
          <w:tcPr>
            <w:tcW w:type="dxa" w:w="3456"/>
          </w:tcPr>
          <w:p>
            <w:r>
              <w:t>liquidity match artifacts (Blackstone Real Estate Income Trust Inc,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(Blackstone Real Estate Income Trust Inc, four reference plans)</w:t>
            </w:r>
          </w:p>
        </w:tc>
        <w:tc>
          <w:tcPr>
            <w:tcW w:type="dxa" w:w="5184"/>
          </w:tcPr>
          <w:p>
            <w:r>
              <w:t>accession not on record: no filing reference in the source field</w:t>
            </w:r>
          </w:p>
        </w:tc>
      </w:tr>
      <w:tr>
        <w:tc>
          <w:tcPr>
            <w:tcW w:type="dxa" w:w="720"/>
          </w:tcPr>
          <w:p>
            <w:r>
              <w:t>4.1</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4.2</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4.3</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4.4</w:t>
            </w:r>
          </w:p>
        </w:tc>
        <w:tc>
          <w:tcPr>
            <w:tcW w:type="dxa" w:w="3456"/>
          </w:tcPr>
          <w:p>
            <w:r>
              <w:t>10-K 2026-02-27 (FY2025)</w:t>
            </w:r>
          </w:p>
        </w:tc>
        <w:tc>
          <w:tcPr>
            <w:tcW w:type="dxa" w:w="5184"/>
          </w:tcPr>
          <w:p>
            <w:r>
              <w:t>10-K 2026-02-27 accession 0001662972-26-000032 https://www.sec.gov/Archives/edgar/data/1662972/000166297226000032/breit-20251231.htm</w:t>
            </w:r>
          </w:p>
        </w:tc>
      </w:tr>
      <w:tr>
        <w:tc>
          <w:tcPr>
            <w:tcW w:type="dxa" w:w="720"/>
          </w:tcPr>
          <w:p>
            <w:r>
              <w:t>4.5</w:t>
            </w:r>
          </w:p>
        </w:tc>
        <w:tc>
          <w:tcPr>
            <w:tcW w:type="dxa" w:w="3456"/>
          </w:tcPr>
          <w:p>
            <w:r>
              <w:t>10-K 2026-02-27 (FY2025)</w:t>
            </w:r>
          </w:p>
        </w:tc>
        <w:tc>
          <w:tcPr>
            <w:tcW w:type="dxa" w:w="5184"/>
          </w:tcPr>
          <w:p>
            <w:r>
              <w:t>10-K 2026-02-27 accession 0001662972-26-000032 https://www.sec.gov/Archives/edgar/data/1662972/000166297226000032/breit-20251231.htm</w:t>
            </w:r>
          </w:p>
        </w:tc>
      </w:tr>
      <w:tr>
        <w:tc>
          <w:tcPr>
            <w:tcW w:type="dxa" w:w="720"/>
          </w:tcPr>
          <w:p>
            <w:r>
              <w:t>4.6</w:t>
            </w:r>
          </w:p>
        </w:tc>
        <w:tc>
          <w:tcPr>
            <w:tcW w:type="dxa" w:w="3456"/>
          </w:tcPr>
          <w:p>
            <w:r>
              <w:t>Form 10-K for fiscal year ended December 31, 2025, filed 2026-02-27 (and Form 10-Q for quarter ended June 30, 2026, filed 2026-08-07)</w:t>
            </w:r>
          </w:p>
        </w:tc>
        <w:tc>
          <w:tcPr>
            <w:tcW w:type="dxa" w:w="5184"/>
          </w:tcPr>
          <w:p>
            <w:r>
              <w:t>10-K 2026-02-27 accession 0001662972-26-000032 https://www.sec.gov/Archives/edgar/data/1662972/000166297226000032/breit-20251231.htm</w:t>
            </w:r>
          </w:p>
          <w:p>
            <w:r>
              <w:t>10-Q 2026-08-07 accession 0001662972-26-000111 https://www.sec.gov/Archives/edgar/data/1662972/000166297226000111/breit-20260630.htm</w:t>
            </w:r>
          </w:p>
        </w:tc>
      </w:tr>
      <w:tr>
        <w:tc>
          <w:tcPr>
            <w:tcW w:type="dxa" w:w="720"/>
          </w:tcPr>
          <w:p>
            <w:r>
              <w:t>4.8</w:t>
            </w:r>
          </w:p>
        </w:tc>
        <w:tc>
          <w:tcPr>
            <w:tcW w:type="dxa" w:w="3456"/>
          </w:tcPr>
          <w:p>
            <w:r>
              <w:t>the analytics supplement artifact (stress windows) (breit_monthly_diagnostics)</w:t>
            </w:r>
          </w:p>
        </w:tc>
        <w:tc>
          <w:tcPr>
            <w:tcW w:type="dxa" w:w="5184"/>
          </w:tcPr>
          <w:p>
            <w:r>
              <w:t>accession not on record: no filing reference in the source field</w:t>
            </w:r>
          </w:p>
        </w:tc>
      </w:tr>
      <w:tr>
        <w:tc>
          <w:tcPr>
            <w:tcW w:type="dxa" w:w="720"/>
          </w:tcPr>
          <w:p>
            <w:r>
              <w:t>5.1</w:t>
            </w:r>
          </w:p>
        </w:tc>
        <w:tc>
          <w:tcPr>
            <w:tcW w:type="dxa" w:w="3456"/>
          </w:tcPr>
          <w:p>
            <w:r>
              <w:t>Form 10-K for fiscal year ended December 31, 2025, filed 2026-02-27 (searches for benchmark/NCREIF/MSCI/ODCE/FTSE Nareit run on stripped text 2026-08-09)</w:t>
            </w:r>
          </w:p>
        </w:tc>
        <w:tc>
          <w:tcPr>
            <w:tcW w:type="dxa" w:w="5184"/>
          </w:tcPr>
          <w:p>
            <w:r>
              <w:t>10-K 2026-02-27 accession 0001662972-26-000032 https://www.sec.gov/Archives/edgar/data/1662972/000166297226000032/breit-20251231.htm</w:t>
            </w:r>
          </w:p>
        </w:tc>
      </w:tr>
      <w:tr>
        <w:tc>
          <w:tcPr>
            <w:tcW w:type="dxa" w:w="720"/>
          </w:tcPr>
          <w:p>
            <w:r>
              <w:t>5.3</w:t>
            </w:r>
          </w:p>
        </w:tc>
        <w:tc>
          <w:tcPr>
            <w:tcW w:type="dxa" w:w="3456"/>
          </w:tcPr>
          <w:p>
            <w:r>
              <w:t>benchmark selection artifact (Blackstone Real Estate Income Trust Inc)</w:t>
            </w:r>
          </w:p>
        </w:tc>
        <w:tc>
          <w:tcPr>
            <w:tcW w:type="dxa" w:w="5184"/>
          </w:tcPr>
          <w:p>
            <w:r>
              <w:t>accession not on record: no filing reference in the source field</w:t>
            </w:r>
          </w:p>
        </w:tc>
      </w:tr>
      <w:tr>
        <w:tc>
          <w:tcPr>
            <w:tcW w:type="dxa" w:w="720"/>
          </w:tcPr>
          <w:p>
            <w:r>
              <w:t>5.4</w:t>
            </w:r>
          </w:p>
        </w:tc>
        <w:tc>
          <w:tcPr>
            <w:tcW w:type="dxa" w:w="3456"/>
          </w:tcPr>
          <w:p>
            <w:r>
              <w:t>cohort artifact (non-traded real estate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(Blackstone Real Estate Income Trust Inc)</w:t>
            </w:r>
          </w:p>
        </w:tc>
        <w:tc>
          <w:tcPr>
            <w:tcW w:type="dxa" w:w="5184"/>
          </w:tcPr>
          <w:p>
            <w:r>
              <w:t>accession not on record: no filing reference in the source field</w:t>
            </w:r>
          </w:p>
        </w:tc>
      </w:tr>
      <w:tr>
        <w:tc>
          <w:tcPr>
            <w:tcW w:type="dxa" w:w="720"/>
          </w:tcPr>
          <w:p>
            <w:r>
              <w:t>5.6</w:t>
            </w:r>
          </w:p>
        </w:tc>
        <w:tc>
          <w:tcPr>
            <w:tcW w:type="dxa" w:w="3456"/>
          </w:tcPr>
          <w:p>
            <w:r>
              <w:t>benchmark selection artifact (Blackstone Real Estate Income Trust Inc)</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6.2</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6.3</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6.4</w:t>
            </w:r>
          </w:p>
        </w:tc>
        <w:tc>
          <w:tcPr>
            <w:tcW w:type="dxa" w:w="3456"/>
          </w:tcPr>
          <w:p>
            <w:r>
              <w:t>10-K 2026-02-27 (form not named in on-disk breit filings)</w:t>
            </w:r>
          </w:p>
        </w:tc>
        <w:tc>
          <w:tcPr>
            <w:tcW w:type="dxa" w:w="5184"/>
          </w:tcPr>
          <w:p>
            <w:r>
              <w:t>10-K 2026-02-27 accession 0001662972-26-000032 https://www.sec.gov/Archives/edgar/data/1662972/000166297226000032/breit-20251231.htm</w:t>
            </w:r>
          </w:p>
        </w:tc>
      </w:tr>
      <w:tr>
        <w:tc>
          <w:tcPr>
            <w:tcW w:type="dxa" w:w="720"/>
          </w:tcPr>
          <w:p>
            <w:r>
              <w:t>6.5</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bl>
    <w:p>
      <w:r>
        <w:t>Data sources: SEC EDGAR filings (5 held for this product in the filing manifest, every row with its accession) and DOL EBSA Form 5500 data for the plan, shown under its anonymized label.</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