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1.1374, Direct Alpha 1.62%/yr over 2018-07-18 to 2026-07-17.</w:t>
      </w:r>
    </w:p>
    <w:p>
      <w:r>
        <w:t>Flags raised by the record (each restates a typed value or verdict, with its source):</w:t>
      </w:r>
    </w:p>
    <w:p>
      <w:pPr>
        <w:pStyle w:val="ListBullet"/>
      </w:pPr>
      <w:r>
        <w:t>none</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1.1374, Direct Alpha 1.62%/yr, 2018-07-18 to 2026-07-17</w:t>
            </w:r>
          </w:p>
        </w:tc>
      </w:tr>
      <w:tr>
        <w:tc>
          <w:tcPr>
            <w:tcW w:type="dxa" w:w="1152"/>
          </w:tcPr>
          <w:p>
            <w:r>
              <w:t>secondary</w:t>
            </w:r>
          </w:p>
        </w:tc>
        <w:tc>
          <w:tcPr>
            <w:tcW w:type="dxa" w:w="3456"/>
          </w:tcPr>
          <w:p>
            <w:r>
              <w:t>Peer composite, private credit cohort without CION Ares Diversified Credit Fund (members: Blackstone Private Credit Fund, Cliffwater Corporate Lending Fund, Blue Owl Credit Income Corp., PIMCO Flexible Credit Income Fund)</w:t>
            </w:r>
          </w:p>
        </w:tc>
        <w:tc>
          <w:tcPr>
            <w:tcW w:type="dxa" w:w="864"/>
          </w:tcPr>
          <w:p>
            <w:r>
              <w:t>8/12</w:t>
            </w:r>
          </w:p>
        </w:tc>
        <w:tc>
          <w:tcPr>
            <w:tcW w:type="dxa" w:w="3888"/>
          </w:tcPr>
          <w:p>
            <w:r>
              <w:t>relative wealth ratio 0.9461 vs the peer composite, annualized excess return -1.1%/yr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r>
        <w:tc>
          <w:tcPr>
            <w:tcW w:type="dxa" w:w="1152"/>
          </w:tcPr>
          <w:p>
            <w:r>
              <w:t>rejected</w:t>
            </w:r>
          </w:p>
        </w:tc>
        <w:tc>
          <w:tcPr>
            <w:tcW w:type="dxa" w:w="3456"/>
          </w:tcPr>
          <w:p>
            <w:r>
              <w:t>Credit Suisse Leveraged Loan Index (CSLLI)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expense ratio, excluding interest expense (6.90% including interest per the fee table), no contractual cap (FY2025, Class I)</w:t>
            </w:r>
          </w:p>
        </w:tc>
        <w:tc>
          <w:tcPr>
            <w:tcW w:type="dxa" w:w="2880"/>
          </w:tcPr>
          <w:p>
            <w:r>
              <w:t>extracted-unverified</w:t>
            </w:r>
          </w:p>
        </w:tc>
      </w:tr>
      <w:tr>
        <w:tc>
          <w:tcPr>
            <w:tcW w:type="dxa" w:w="2880"/>
          </w:tcPr>
          <w:p>
            <w:r>
              <w:t>2.4 AFFE</w:t>
            </w:r>
          </w:p>
        </w:tc>
        <w:tc>
          <w:tcPr>
            <w:tcW w:type="dxa" w:w="3600"/>
          </w:tcPr>
          <w:p>
            <w:r>
              <w:t>n/a</w:t>
            </w:r>
          </w:p>
        </w:tc>
        <w:tc>
          <w:tcPr>
            <w:tcW w:type="dxa" w:w="2880"/>
          </w:tcPr>
          <w:p>
            <w:r>
              <w:t>n/a - documented-unavailable</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1, extracted-unverified 22, verified 0, computed 10, partial 11, fetched 0,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