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Destiny Tech100 Inc (listed closed-end fund (NYSE: DXYZ), CIK 1843974)</w:t>
        <w:br/>
      </w:r>
      <w:r>
        <w:t>Record as of 2026-09-04. DRAFT, generated by the build from the record. The decision memo for the same plan and product is a separate document.</w:t>
      </w:r>
    </w:p>
    <w:p>
      <w:pPr>
        <w:pStyle w:val="Heading1"/>
      </w:pPr>
      <w:r>
        <w:t>Summary</w:t>
      </w:r>
    </w:p>
    <w:p>
      <w:r>
        <w:t>Structural liquidity verdict: ALIGNED-MECHANICAL (typed facts, plan-independent). Scenario verdict under this plan (ILLUSTRATIVE, default sliders):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Evidence coverage: 41 of 41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Peer composite, pre-IPO and venture cohort without Destiny Tech100 Inc (members: ARK Venture Fund, Neostellar Capital Corp.)</w:t>
            </w:r>
          </w:p>
        </w:tc>
        <w:tc>
          <w:tcPr>
            <w:tcW w:type="dxa" w:w="864"/>
          </w:tcPr>
          <w:p>
            <w:r>
              <w:t>3/12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NASDAQ Composite Index</w:t>
            </w:r>
          </w:p>
        </w:tc>
        <w:tc>
          <w:tcPr>
            <w:tcW w:type="dxa" w:w="864"/>
          </w:tcPr>
          <w:p>
            <w:r>
              <w:t>3/12</w:t>
            </w:r>
          </w:p>
        </w:tc>
        <w:tc>
          <w:tcPr>
            <w:tcW w:type="dxa" w:w="3888"/>
          </w:tcPr>
          <w:p>
            <w:r>
              <w:t>fund price is premium/discount-driven and decoupled from NAV. Benchmarking the price benchmarks the premium, not the portfolio</w:t>
            </w:r>
          </w:p>
        </w:tc>
      </w:tr>
    </w:tbl>
    <w:p>
      <w:pPr>
        <w:pStyle w:val="Heading1"/>
      </w:pPr>
      <w:r>
        <w:t>Exhibit B. Liquidity match for this plan</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closed-end fund</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3.1</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not applicable (exchange-traded).</w:t>
      </w:r>
    </w:p>
    <w:p>
      <w:r>
        <w:t>Stressed (tail turnover x2, active turnover x1.5 vs base scenario): demand $5.4M/yr = 19.2%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2.50% on gross assets incl. borrowings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4.53% expense ratio, of average net assets (FY2025)</w:t>
            </w:r>
          </w:p>
        </w:tc>
        <w:tc>
          <w:tcPr>
            <w:tcW w:type="dxa" w:w="2880"/>
          </w:tcPr>
          <w:p>
            <w:r>
              <w:t>extracted-unverified</w:t>
            </w:r>
          </w:p>
        </w:tc>
      </w:tr>
      <w:tr>
        <w:tc>
          <w:tcPr>
            <w:tcW w:type="dxa" w:w="2880"/>
          </w:tcPr>
          <w:p>
            <w:r>
              <w:t>2.4 AFFE</w:t>
            </w:r>
          </w:p>
        </w:tc>
        <w:tc>
          <w:tcPr>
            <w:tcW w:type="dxa" w:w="3600"/>
          </w:tcPr>
          <w:p>
            <w:r>
              <w:t>AFFE 0.03%</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n/a</w:t>
            </w:r>
          </w:p>
        </w:tc>
        <w:tc>
          <w:tcPr>
            <w:tcW w:type="dxa" w:w="2880"/>
          </w:tcPr>
          <w:p>
            <w:r>
              <w:t>n/a - no early-repurchase fee (exchange-traded)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Pre-IPO / venture growth (listed CEF + listed BDC + interval fund) (n=3).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24, verified 0, computed 13,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