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Hamilton Lane Private Assets Fund (tender-offer fund ('40 Act); NOT an interval fund, CIK 1803491)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1.96 vs PSP, peer relative wealth ratio 1.07. 1.11 inception 2021-01-04, 5.2 years.</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Primary Peer composite, evergreen private equity cohort without Hamilton Lane Private Assets Fund (members: AMG Pantheon Fund, LLC, Ares Private Markets Fund, KKR Private Equity Conglomerate LLC, StepStone Private Markets): relative wealth ratio 1.0693 over FY2022 to FY2026 (5 overlapping fiscal year(s) of 5 composite years), fund growth 2.0386x / peer composite growth 1.9064x on two-point flows, annualized excess return +1.35%/yr, fund return source: filed fiscal-year returns.</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 i.e., the bulk of the portfolio -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hl_paf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evergreen PE peer composite selected, 9/12.</w:t>
            </w:r>
          </w:p>
          <w:p>
            <w:r>
              <w:t>5.1 Self-declared benchmark (extracted-unverified): Stated comparators in shareholder report: S&amp;P 500 Index and MSCI World Index (defined in Fund Performance footnotes).</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secondary slot):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 Hamilton Lane Advisors, L.L.C., 110 Washington St, Ste. 1300, Conshohocken, PA; Custodian — UMB Bank, n.a., Kansas City, MO (affiliate of UMBFS); Fund Administrator, Transfer Agent and Fund Accountant — UMB Fund Services, Inc. ('UMBFS'), 235 W. Galena Street, Milwaukee, WI; Distributor — Distribution Services, LLC, 3 Canal Plaza, Suite 100, Portland, ME; Independent Registered Public Accounting Firm — Cohen &amp; Company, Ltd., Cleveland, OH (audit opinion signed COHEN &amp; COMPANY, LTD.).</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evergreen private equity cohort without Hamilton Lane Private Assets Fund (members: AMG Pantheon Fund, LLC, Ares Private Markets Fund, KKR Private Equity Conglomerate LLC, StepStone Private Markets) (score 9/12)</w:t>
      </w:r>
    </w:p>
    <w:p>
      <w:r>
        <w:t>Window FY2022 to FY2026 (5 overlapping fiscal year(s) of 5 composite years): fund 15.31%/yr (filed fiscal-year returns) vs peer composite 13.78%/yr, relative wealth ratio 1.0693, annualized excess return 1.35%/yr.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(amg_pantheon, ares_pmf, stepstone_spm), 12 (kkr_kpec), the fund's in month 03.</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equity / evergreen private equity)</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Listed private equity investable proxy (PSP) (score 9/12)</w:t>
      </w:r>
    </w:p>
    <w:p>
      <w:r>
        <w:t>Window 2021-03-31 to 2026-03-31: fund 15.31%/yr (filed fiscal-year returns) vs public proxy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private equity)</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S&amp;P 500 investable proxy (SPY)</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plan_tech_media.json (Form 5500, plan year 2024-01-01 to 2024-12-31).</w:t>
      </w:r>
    </w:p>
    <w:p>
      <w:pPr>
        <w:pStyle w:val="Heading1"/>
      </w:pPr>
      <w:r>
        <w:t>Peer cohort placement</w:t>
      </w:r>
    </w:p>
    <w:p>
      <w:r>
        <w:t>Evidence depth tier: FULL. Cohort: Evergreen private equity ('40-Act funds + '34-Act conglomerate) (n=5). Membership rationale: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t>
      </w:r>
    </w:p>
    <w:p>
      <w:r>
        <w:t>Benchmark: Peer composite, evergreen private equity cohort without Hamilton Lane Private Assets Fund (members: AMG Pantheon Fund, LLC, Ares Private Markets Fund, KKR Private Equity Conglomerate LLC, StepStone Private Markets) selected as primary at 9/12, secondary Listed private equity investable proxy (PSP)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10, partial 2, fetched 1, n/a 13, pending 0. 41 of 41 resolvable, 0 verified, 13 n/a by wrapper.</w:t>
      </w:r>
    </w:p>
    <w:p>
      <w:r>
        <w:t>Of the 40 evidenced cells, 40 carry a source document, 40 a section, 30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1.8</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annual report), filed 2026-06-09; adviser founding/AUM per 486BPOS base prospectus+SAI,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2.2</w:t>
            </w:r>
          </w:p>
        </w:tc>
        <w:tc>
          <w:tcPr>
            <w:tcW w:type="dxa" w:w="3456"/>
          </w:tcPr>
          <w:p>
            <w:r>
              <w:t>N-CSR 2026-06-09 (FY2026 annual report), incentive-fee discussion; 486BPOS 2021-07-29 for the superseded terms</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2.3</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2.4</w:t>
            </w:r>
          </w:p>
        </w:tc>
        <w:tc>
          <w:tcPr>
            <w:tcW w:type="dxa" w:w="3456"/>
          </w:tcPr>
          <w:p>
            <w:r>
              <w:t>486BPOS base prospectus+SAI, 2021-07-29 (2021-dated figures)</w:t>
            </w:r>
          </w:p>
        </w:tc>
        <w:tc>
          <w:tcPr>
            <w:tcW w:type="dxa" w:w="5184"/>
          </w:tcPr>
          <w:p>
            <w:r>
              <w:t>486BPOS 2021-07-29 accession 0001398344-21-015077 https://www.sec.gov/Archives/edgar/data/1803491/000139834421015077/fp0067291_486bpos.htm</w:t>
            </w:r>
          </w:p>
        </w:tc>
      </w:tr>
      <w:tr>
        <w:tc>
          <w:tcPr>
            <w:tcW w:type="dxa" w:w="720"/>
          </w:tcPr>
          <w:p>
            <w:r>
              <w:t>2.5</w:t>
            </w:r>
          </w:p>
        </w:tc>
        <w:tc>
          <w:tcPr>
            <w:tcW w:type="dxa" w:w="3456"/>
          </w:tcPr>
          <w:p>
            <w:r>
              <w:t>486BPOS base prospectus+SAI, 2021-07-29 (2021-dated)</w:t>
            </w:r>
          </w:p>
        </w:tc>
        <w:tc>
          <w:tcPr>
            <w:tcW w:type="dxa" w:w="5184"/>
          </w:tcPr>
          <w:p>
            <w:r>
              <w:t>486BPOS 2021-07-29 accession 0001398344-21-015077 https://www.sec.gov/Archives/edgar/data/1803491/000139834421015077/fp0067291_486bpos.htm</w:t>
            </w:r>
          </w:p>
        </w:tc>
      </w:tr>
      <w:tr>
        <w:tc>
          <w:tcPr>
            <w:tcW w:type="dxa" w:w="720"/>
          </w:tcPr>
          <w:p>
            <w:r>
              <w:t>2.6</w:t>
            </w:r>
          </w:p>
        </w:tc>
        <w:tc>
          <w:tcPr>
            <w:tcW w:type="dxa" w:w="3456"/>
          </w:tcPr>
          <w:p>
            <w:r>
              <w:t>486BPOS base prospectus+SAI, 2021-07-29 (loads); FY2026 rates and dollar amounts confirmed in N-CSR filed 2026-06-09, Note 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2.7</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2026-05-06</w:t>
            </w:r>
          </w:p>
        </w:tc>
        <w:tc>
          <w:tcPr>
            <w:tcW w:type="dxa" w:w="5184"/>
          </w:tcPr>
          <w:p>
            <w:r>
              <w:t>SC TO-I 2026-05-06 accession 0001213900-26-052657 https://www.sec.gov/Archives/edgar/data/1803491/000121390026052657/ea0288793-01_sctoi.htm</w:t>
            </w:r>
          </w:p>
        </w:tc>
      </w:tr>
      <w:tr>
        <w:tc>
          <w:tcPr>
            <w:tcW w:type="dxa" w:w="720"/>
          </w:tcPr>
          <w:p>
            <w:r>
              <w:t>3.2</w:t>
            </w:r>
          </w:p>
        </w:tc>
        <w:tc>
          <w:tcPr>
            <w:tcW w:type="dxa" w:w="3456"/>
          </w:tcPr>
          <w:p>
            <w:r>
              <w:t>SC TO-I filed 2026-05-06; cadence per N-CSR filed 2026-06-09, Note 13</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3.3</w:t>
            </w:r>
          </w:p>
        </w:tc>
        <w:tc>
          <w:tcPr>
            <w:tcW w:type="dxa" w:w="3456"/>
          </w:tcPr>
          <w:p>
            <w:r>
              <w:t>SC TO-I filed 2026-05-06, Item 5; N-CSR filed 2026-06-09 - Consolidated Statements of Changes in Net Assets, Shareholder Activity, Note 20</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3.6</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4.5</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4.6</w:t>
            </w:r>
          </w:p>
        </w:tc>
        <w:tc>
          <w:tcPr>
            <w:tcW w:type="dxa" w:w="3456"/>
          </w:tcPr>
          <w:p>
            <w:r>
              <w:t>N-CSR (FY2026 annual report), filed 2026-06-09 (absence search across all on-disk hl_paf filings)</w:t>
            </w:r>
          </w:p>
        </w:tc>
        <w:tc>
          <w:tcPr>
            <w:tcW w:type="dxa" w:w="5184"/>
          </w:tcPr>
          <w:p>
            <w:r>
              <w:t>N-CSR 2026-06-09 accession 0001213900-26-066804 https://www.sec.gov/Archives/edgar/data/1803491/000121390026066804/ea0291054-01_ncsr.htm</w:t>
            </w:r>
          </w:p>
        </w:tc>
      </w:tr>
      <w:tr>
        <w:tc>
          <w:tcPr>
            <w:tcW w:type="dxa" w:w="720"/>
          </w:tcPr>
          <w:p>
            <w:r>
              <w:t>5.1</w:t>
            </w:r>
          </w:p>
        </w:tc>
        <w:tc>
          <w:tcPr>
            <w:tcW w:type="dxa" w:w="3456"/>
          </w:tcPr>
          <w:p>
            <w:r>
              <w:t>N-CSR 2026-06-09 (FY ended 3/31/2026)</w:t>
            </w:r>
          </w:p>
        </w:tc>
        <w:tc>
          <w:tcPr>
            <w:tcW w:type="dxa" w:w="5184"/>
          </w:tcPr>
          <w:p>
            <w:r>
              <w:t>N-CSR 2026-06-09 accession 0001213900-26-066804 https://www.sec.gov/Archives/edgar/data/1803491/000121390026066804/ea0291054-01_ncsr.htm</w:t>
            </w:r>
          </w:p>
        </w:tc>
      </w:tr>
      <w:tr>
        <w:tc>
          <w:tcPr>
            <w:tcW w:type="dxa" w:w="720"/>
          </w:tcPr>
          <w:p>
            <w:r>
              <w:t>5.3</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6.2</w:t>
            </w:r>
          </w:p>
        </w:tc>
        <w:tc>
          <w:tcPr>
            <w:tcW w:type="dxa" w:w="3456"/>
          </w:tcPr>
          <w:p>
            <w:r>
              <w:t>486BPOS base prospectus+SAI, 2021-07-29 (policy/instruments, 2021-dated); composition and derivatives usage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6.3</w:t>
            </w:r>
          </w:p>
        </w:tc>
        <w:tc>
          <w:tcPr>
            <w:tcW w:type="dxa" w:w="3456"/>
          </w:tcPr>
          <w:p>
            <w:r>
              <w:t>486BPOS base prospectus+SAI, 2021-07-29 (conflicts section, exemptive order); dollar amounts and current fee terms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6.4</w:t>
            </w:r>
          </w:p>
        </w:tc>
        <w:tc>
          <w:tcPr>
            <w:tcW w:type="dxa" w:w="3456"/>
          </w:tcPr>
          <w:p>
            <w:r>
              <w:t>486BPOS 2021-07-29 (base prospectus)</w:t>
            </w:r>
          </w:p>
        </w:tc>
        <w:tc>
          <w:tcPr>
            <w:tcW w:type="dxa" w:w="5184"/>
          </w:tcPr>
          <w:p>
            <w:r>
              <w:t>486BPOS 2021-07-29 accession 0001398344-21-015077 https://www.sec.gov/Archives/edgar/data/1803491/000139834421015077/fp0067291_486bpos.htm</w:t>
            </w:r>
          </w:p>
        </w:tc>
      </w:tr>
      <w:tr>
        <w:tc>
          <w:tcPr>
            <w:tcW w:type="dxa" w:w="720"/>
          </w:tcPr>
          <w:p>
            <w:r>
              <w:t>6.5</w:t>
            </w:r>
          </w:p>
        </w:tc>
        <w:tc>
          <w:tcPr>
            <w:tcW w:type="dxa" w:w="3456"/>
          </w:tcPr>
          <w:p>
            <w:r>
              <w:t>N-CSR (FY2026 annual report), filed 2026-06-09; counsel per 486BPOS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bl>
    <w:p>
      <w:r>
        <w:t>Data sources: SEC EDGAR filings (6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