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Designated Investment Alternative Evaluation: Decision Memo</w:t>
      </w:r>
    </w:p>
    <w:p>
      <w:r>
        <w:rPr>
          <w:b/>
        </w:rPr>
        <w:t>Plan: US media/technology company 401(k) plan (~$570M, New York)</w:t>
        <w:br/>
      </w:r>
      <w:r>
        <w:t>Product: JLL Income Property Trust, Inc. (non-traded REIT ('34 Act reporting, perpetual NAV REIT), CIK 1314152)</w:t>
        <w:br/>
      </w:r>
      <w:r>
        <w:t>Date: 2026-09-04    Status: DRAFT (demo build). Cells marked extracted-unverified pend independent verification.</w:t>
      </w:r>
    </w:p>
    <w:p>
      <w:pPr>
        <w:pStyle w:val="Heading1"/>
      </w:pPr>
      <w:r>
        <w:t>Regulatory basis</w:t>
      </w:r>
    </w:p>
    <w:p>
      <w:r>
        <w:t>U.S. Department of Labor, Employee Benefits Security Administration, proposed rule Fiduciary Duties in Selecting Designated Investment Alternatives, 91 FR 16088 (Mar. 31, 2026), RIN 1210-AC38, proposed 29 CFR 2550.404a-6. Federal Register document 2026-06178, https://www.federalregister.gov/documents/2026/03/31/2026-06178/fiduciary-duties-in-selecting-designated-investment-alternatives. Docket EBSA-2026-0166, https://www.regulations.gov/docket/EBSA-2026-0166.</w:t>
      </w:r>
    </w:p>
    <w:p>
      <w:r>
        <w:t>This memo documents an evaluation of the product below as a candidate designated investment alternative for the plan named above, structured on the six factors of the proposed rule, paragraphs (g) to (l) of proposed 29 CFR 2550.404a-6: performance (g), fees and expenses (h), liquidity (i), valuation (j), performance benchmarks (k), complexity (l). The regulation is cited, not paraphrased. This memo and its underlying evidence files are the record of the evaluation.</w:t>
      </w:r>
    </w:p>
    <w:p>
      <w:r>
        <w:t>The benchmark section documents the selection AND the rejections: every candidate considered, its score, and the true reason it was or was not chosen. Case law is addressed in its own section below, from cell 5.7 only.</w:t>
      </w:r>
    </w:p>
    <w:p>
      <w:r>
        <w:t>Factor mapping basis: factor order per the 2026-09-03 audit's check of 91 FR 16088, paragraphs (g) to (l) of proposed 29 CFR 2550.404a-6, verbatim text not in this build. The verbatim text of paragraphs (g) to (l) is not yet in this build. The Federal Register document is linked above. Cells 6.6 and 6.8 are advisor-completed under paragraph (l).</w:t>
      </w:r>
    </w:p>
    <w:p>
      <w:pPr>
        <w:pStyle w:val="Heading1"/>
      </w:pPr>
      <w:r>
        <w:t>Six-factor findings</w:t>
      </w:r>
    </w:p>
    <w:p>
      <w:r>
        <w:t>Per factor: the typed facts the engines read (each cites its cell), then the complete first sentence of every evidenced cell with its status, then the cells marked not applicable with the reason. The full sourced text, quote and document of every cell is in the evidence ledger and on the site's Evaluation view.</w:t>
      </w:r>
    </w:p>
    <w:tbl>
      <w:tblPr>
        <w:tblStyle w:val="TableGrid"/>
        <w:tblW w:type="auto" w:w="0"/>
        <w:tblLook w:firstColumn="1" w:firstRow="1" w:lastColumn="0" w:lastRow="0" w:noHBand="0" w:noVBand="1" w:val="04A0"/>
      </w:tblPr>
      <w:tblGrid>
        <w:gridCol w:w="4680"/>
        <w:gridCol w:w="4680"/>
      </w:tblGrid>
      <w:tr>
        <w:tc>
          <w:tcPr>
            <w:tcW w:type="dxa" w:w="1728"/>
          </w:tcPr>
          <w:p>
            <w:r>
              <w:t>Factor</w:t>
            </w:r>
          </w:p>
        </w:tc>
        <w:tc>
          <w:tcPr>
            <w:tcW w:type="dxa" w:w="7632"/>
          </w:tcPr>
          <w:p>
            <w:r>
              <w:t>Findings (cell, status, first sentence)</w:t>
            </w:r>
          </w:p>
        </w:tc>
      </w:tr>
      <w:tr>
        <w:tc>
          <w:tcPr>
            <w:tcW w:type="dxa" w:w="1728"/>
          </w:tcPr>
          <w:p>
            <w:r>
              <w:t>1. Performance (g)</w:t>
            </w:r>
          </w:p>
        </w:tc>
        <w:tc>
          <w:tcPr>
            <w:tcW w:type="dxa" w:w="7632"/>
          </w:tcPr>
          <w:p>
            <w:r>
              <w:t>Typed facts: 1.11 inception 2012-10-01, 13.2 years.</w:t>
            </w:r>
          </w:p>
          <w:p>
            <w:r>
              <w:t>1.1 Net total return series (partial): PARTIAL: no printed multi-year per-class return series exists in the FY2025 10-K.</w:t>
            </w:r>
          </w:p>
          <w:p>
            <w:r>
              <w:t>1.2 Trailing &amp; calendar-year returns (partial): PARTIAL: primary class Class M-I (the performance-graph class, no servicing fee); basis: NAV-based net total return 'post leverage and fees', distributions included.</w:t>
            </w:r>
          </w:p>
          <w:p>
            <w:r>
              <w:t>1.3 Gross vs net spread (partial): PARTIAL: no gross-of-fees return series is printed; every printed return is net (performance graph caption: Class M-I 'post leverage and fees'; MD&amp;A returns 'less share class-specific fees').</w:t>
            </w:r>
          </w:p>
          <w:p>
            <w:r>
              <w:t>1.4 Distribution history &amp; composition (extracted-unverified): FY2025 gross dividends declared and paid $0.63/share ($0.1575/quarter); FY2024 declared $0.6175; FY2023 $0.58.</w:t>
            </w:r>
          </w:p>
          <w:p>
            <w:r>
              <w:t>1.5 Underlying sleeve/GP performance (partial): PARTIAL: direct-property REIT - no underlying GP funds, so no underlying-fund IRR table exists.</w:t>
            </w:r>
          </w:p>
          <w:p>
            <w:r>
              <w:t>1.11 Track record &amp; manager tenure (extracted-unverified): Incorporated 2004-05-28 (Maryland); REIT-taxed since taxable year 2004 ('since our inception in 2004'); initial public offering commenced 2012-10-01 with continuous public offerings since - the OLDEST daily-NAV REIT in this cohort (daily-NAV strategy 'we began in 2012'; vs BREIT 2017 / SREIT 2018 vintages).</w:t>
            </w:r>
          </w:p>
          <w:p>
            <w:r>
              <w:t>Not applicable: 1.6 sub-annual return series not free-public for this wrapper. 1.7 sub-annual return series not free-public for this wrapper. 1.8 annual returns printed only as per-class ranges; no point series to benchmark. 1.9 no multi-year point return series printed. 1.10 not exchange-listed.</w:t>
            </w:r>
          </w:p>
        </w:tc>
      </w:tr>
      <w:tr>
        <w:tc>
          <w:tcPr>
            <w:tcW w:type="dxa" w:w="1728"/>
          </w:tcPr>
          <w:p>
            <w:r>
              <w:t>2. Fees (h)</w:t>
            </w:r>
          </w:p>
        </w:tc>
        <w:tc>
          <w:tcPr>
            <w:tcW w:type="dxa" w:w="7632"/>
          </w:tcPr>
          <w:p>
            <w:r>
              <w:t>Typed facts: 2.1 1.25% on NAV. 2.2 incentive fee: 10% / 7% hurdle. 2.4 no AFFE line. 2.7 early repurchase fee: none.</w:t>
            </w:r>
          </w:p>
          <w:p>
            <w:r>
              <w:t>2.1 Management fee (rate AND base) (extracted-unverified): RATE: 1.25% per annum, fixed.</w:t>
            </w:r>
          </w:p>
          <w:p>
            <w:r>
              <w:t>2.2 Incentive fee terms (extracted-unverified): Incentive terms EXIST: performance fee = 10% of the total return of each share class (or OP Unit class) in excess of 7% per annum, calculated separately per class per calendar year.</w:t>
            </w:r>
          </w:p>
          <w:p>
            <w:r>
              <w:t>2.3 Total expense ratio &amp; waivers (extracted-unverified): None exists structurally: '34 Act 10-K REIT wrapper - no 1940-Act fee table and no financial-highlights expense-ratio line ('expense ratio' = zero hits across stripped 10-K/10-Q/424B3, searched 2026-08-15).</w:t>
            </w:r>
          </w:p>
          <w:p>
            <w:r>
              <w:t>2.4 AFFE (extracted-unverified): Not applicable - none exists: JLL IPT is a 10-K filer (non-'40-Act REIT) with no 1940-Act fee table; no 'Acquired Fund Fees and Expenses' line exists or can ('acquired fund' = zero hits in stripped 10-K, 10-Q and 424B3, searched 2026-08-15).</w:t>
            </w:r>
          </w:p>
          <w:p>
            <w:r>
              <w:t>2.6 Loads &amp; servicing fees (extracted-unverified): Per-class loads/servicing (10-K Note 7, effective 2025-10-07, % of NAV): Class A up to 3.0% selling commission + 0.85%/yr stockholder servicing; Class M none + 0.30%; Class A-I up to 1.5% + 0.30%; Class M-I none + NONE; Class D up to 1.5% + 0.30%; Class I none + NONE; Class N up to 1.0% + NONE; Class S up to 3.0% + 0.85%; Class Z none + 0.30% (D/I/N/S/Z offered only privately).</w:t>
            </w:r>
          </w:p>
          <w:p>
            <w:r>
              <w:t>2.7 Early repurchase fee (extracted-unverified): No early-repurchase FEE exists ('early repurchase'/'repurchase deduction' = zero hits in stripped 10-K and 10-Q, searched 2026-08-15; contrast BREIT/SREIT 2% Early Repurchase Deduction).</w:t>
            </w:r>
          </w:p>
          <w:p>
            <w:r>
              <w:t>2.9 Fee peer percentile (computed): Cohort placement (non-traded real estate cohort): mgmt fee: at the cohort median of 1.25 (n=3, too small for percentile language) | expense ratio (bases differ, see notes): fact unavailable for this member | repurchase cap: above the cohort median of 2 (n=3, too small for percentile language).</w:t>
            </w:r>
          </w:p>
          <w:p>
            <w:r>
              <w:t>Not applicable: 2.5 no underlying GP fund layer; JV promote/fee economics are private JV-agreement terms with no rates printed in the filings. 2.8 CIT only. 2.10 requires the plan committee's own value-for-fees determination - workflow output, not public product data (inputs live in cells 2.1-2.9).</w:t>
            </w:r>
          </w:p>
        </w:tc>
      </w:tr>
      <w:tr>
        <w:tc>
          <w:tcPr>
            <w:tcW w:type="dxa" w:w="1728"/>
          </w:tcPr>
          <w:p>
            <w:r>
              <w:t>3. Liquidity (i)</w:t>
            </w:r>
          </w:p>
        </w:tc>
        <w:tc>
          <w:tcPr>
            <w:tcW w:type="dxa" w:w="7632"/>
          </w:tcPr>
          <w:p>
            <w:r>
              <w:t>Typed facts: 3.1 daily dealing, 5% cap per quarter on NAV. 3.3 no gating identified in the filings on record. 3.9 structural verdict conditional, plan-independent.</w:t>
            </w:r>
          </w:p>
          <w:p>
            <w:r>
              <w:t>3.1 Wrapper liquidity terms (extracted-unverified): CADENCE: DAILY - stockholders may request repurchase of all or part of their shares any day at that day's NAV per share (plan first announced 2011; contrast monthly/quarterly windows at BREIT/SREIT).</w:t>
            </w:r>
          </w:p>
          <w:p>
            <w:r>
              <w:t>3.2 Repurchase mechanics (extracted-unverified): Price = NAV per share of the class on the DATE OF REPURCHASE (not purchase price, not prior-month NAV).</w:t>
            </w:r>
          </w:p>
          <w:p>
            <w:r>
              <w:t>3.3 Repurchase history (extracted-unverified): UNBROKEN fulfillment record as disclosed: never deferred nor rejected a repurchase request through 2025-12-31 (10-K), and 100% honored in every later printed period (10-Q).</w:t>
            </w:r>
          </w:p>
          <w:p>
            <w:r>
              <w:t>3.4 Portfolio liquidity profile (extracted-unverified): Underlying assets are illiquid direct real estate: 'The vast majority of our assets consist of properties that cannot generally be liquidated quickly.' Liquid resources printed: 2025-12-31 &gt;$103,000K total cash on hand + $515,000K Credit Facility capacity; 2026-06-30 &gt;$90,000K cash + $600,000K capacity.</w:t>
            </w:r>
          </w:p>
          <w:p>
            <w:r>
              <w:t>3.6 Fund leverage &amp; facilities (extracted-unverified): Target company leverage ratio 30-50% (share of total liabilities excl. future stockholder servicing/dealer manager fees over share of fair value of total assets); ACTUAL 32% at 2025-12-31 and 34% at 2024-12-31 - low vs cohort.</w:t>
            </w:r>
          </w:p>
          <w:p>
            <w:r>
              <w:t>3.8 Redemption stress test (computed): ILLUSTRATIVE redemption stress test (computed for all four reference plans): tail turnover x2, active turnover x1.5 vs base scenario, default sliders allocation 5% of plan, tail turnover 20%/yr, active turnover 5%/yr.</w:t>
            </w:r>
          </w:p>
          <w:p>
            <w:r>
              <w:t>3.9 Product-to-plan liquidity match (computed): Structural liquidity verdict CONDITIONAL (typed facts, cells 3.1, 3.3, 2.7, plan-independent).</w:t>
            </w:r>
          </w:p>
          <w:p>
            <w:r>
              <w:t>Not applicable: 3.5 CIT only. 3.7 participant liquidity demand comes from a specific plan's Form 5500/recordkeeper census, resolved per plan engagement, not from product filings.</w:t>
            </w:r>
          </w:p>
        </w:tc>
      </w:tr>
      <w:tr>
        <w:tc>
          <w:tcPr>
            <w:tcW w:type="dxa" w:w="1728"/>
          </w:tcPr>
          <w:p>
            <w:r>
              <w:t>4. Valuation (j)</w:t>
            </w:r>
          </w:p>
        </w:tc>
        <w:tc>
          <w:tcPr>
            <w:tcW w:type="dxa" w:w="7632"/>
          </w:tcPr>
          <w:p>
            <w:r>
              <w:t>Typed facts: 4.5 KPMG LLP (Big 4).</w:t>
            </w:r>
          </w:p>
          <w:p>
            <w:r>
              <w:t>4.1 Valuation policy &amp; NAV frequency (extracted-unverified): NAV FREQUENCY: DAILY - struck at the end of each day the NYSE is open; 'externally advised, daily valued perpetual life REIT' (the cohort's daily-NAV cadence contrast to BREIT/SREIT monthly).</w:t>
            </w:r>
          </w:p>
          <w:p>
            <w:r>
              <w:t>4.2 Fair-value hierarchy (L1/2/3) (extracted-unverified): GAAP fair-value hierarchy appears only for specific items (real estate itself is at historical cost under GAAP; the daily NAV fair-value process is separate and 'not subject to GAAP or independent audit').</w:t>
            </w:r>
          </w:p>
          <w:p>
            <w:r>
              <w:t>4.3 Independent valuation agent (extracted-unverified): Independent valuation advisor: SitusAMC Real Estate Valuation Services, LLC - selected by the Advisor, approved by the board including a majority of independent directors; founded 1931; NOT affiliated with the Company or Advisor; compensated per property appraised, not on values; manages/provides property, real-estate-loan and DST valuations but does NOT calculate the daily NAV (that is ALPS, 4.1).</w:t>
            </w:r>
          </w:p>
          <w:p>
            <w:r>
              <w:t>4.4 Methodology by asset type (extracted-unverified): By asset type (Item 5 valuation guidelines): wholly owned properties - quarterly independent appraisal, income approach (DCF) primary with sales-comparison and replacement-cost alternatives, free-and-clear basis excluding property debt; JV properties - same appraisal then JV-agreement distribution provisions applied; DST Properties - cost until first appraisal cycle, revalued before DST offerings; publicly traded RE securities - last trade/bid via third parties, liquidity discount if restricted; private placements/RE operating businesses - cost then quarterly fair value (commingled-vehicle interests may rely on issuer-assigned values); first mortgages/debt interests - cost until impairment indicator triggers third-party appraisal; liquid non-RE assets - valued daily; ALL liabilities at cost (mortgages, credit facilities); FY2025 DCF key assumptions printed by sector (total company: 5.6% exit cap, 7.3% discount/IRR, 3.1% rent growth, 10.2-yr hold) with sensitivity table.</w:t>
            </w:r>
          </w:p>
          <w:p>
            <w:r>
              <w:t>4.5 Auditor &amp; opinion (extracted-unverified): Auditor: KPMG LLP, Chicago, Illinois - Auditor Firm ID 185; auditor since 2012; opinion signed 2026-03-26.</w:t>
            </w:r>
          </w:p>
          <w:p>
            <w:r>
              <w:t>4.6 NAV restatement history (extracted-unverified): None identified: searched stripped 10-K (FY2025, filed 2026-03-26), 10-Q (Q2-2026, filed 2026-08-11) and 424B3 Supplement No. 7 (filed 2026-08-12) for 'restat'/'error correction' on 2026-08-15.</w:t>
            </w:r>
          </w:p>
          <w:p>
            <w:r>
              <w:t>Not applicable: 4.7 no market price for a non-listed NAV-transaction wrapper. 4.8 sub-annual return series not free-public for this wrapper. 4.9 CIT only.</w:t>
            </w:r>
          </w:p>
        </w:tc>
      </w:tr>
      <w:tr>
        <w:tc>
          <w:tcPr>
            <w:tcW w:type="dxa" w:w="1728"/>
          </w:tcPr>
          <w:p>
            <w:r>
              <w:t>5. Performance Benchmarks (k)</w:t>
            </w:r>
          </w:p>
        </w:tc>
        <w:tc>
          <w:tcPr>
            <w:tcW w:type="dxa" w:w="7632"/>
          </w:tcPr>
          <w:p>
            <w:r>
              <w:t>5.1 Self-declared benchmark (extracted-unverified): Self-declared benchmark EXISTS: NFI-ODCE (NCREIF Fund Index - Open-End Diversified Core Equity) - endorsed in the Item 5 performance graph comparing Class M-I (post leverage and fees) against the S&amp;P 500 and ODCE, $100 invested 2021-01-01, dividends reinvested.</w:t>
            </w:r>
          </w:p>
          <w:p>
            <w:r>
              <w:t>5.4 Peer universe &amp; returns (computed): Peer cohort: non-traded real estate cohort (n=3: Blackstone Real Estate Income Trust Inc, Starwood Real Estate Income Trust, Inc., JLL Income Property Trust, Inc.).</w:t>
            </w:r>
          </w:p>
          <w:p>
            <w:r>
              <w:t>5.6 Benchmark suitability memo (computed): Benchmark suitability (Tark benchmark rubric, 12 points).</w:t>
            </w:r>
          </w:p>
          <w:p>
            <w:r>
              <w:t>5.7 Case-law tracker (partial): Anderson v. Intel Corp. Investment Policy Committee, No. 25-498 (U.S.).</w:t>
            </w:r>
          </w:p>
          <w:p>
            <w:r>
              <w:t>Not applicable: 5.3 no computable return profile (range-only annual prints). 5.5 no point return series.</w:t>
            </w:r>
          </w:p>
        </w:tc>
      </w:tr>
      <w:tr>
        <w:tc>
          <w:tcPr>
            <w:tcW w:type="dxa" w:w="1728"/>
          </w:tcPr>
          <w:p>
            <w:r>
              <w:t>6. Complexity (l)</w:t>
            </w:r>
          </w:p>
        </w:tc>
        <w:tc>
          <w:tcPr>
            <w:tcW w:type="dxa" w:w="7632"/>
          </w:tcPr>
          <w:p>
            <w:r>
              <w:t>Typed facts: 6.1 non-traded REIT.</w:t>
            </w:r>
          </w:p>
          <w:p>
            <w:r>
              <w:t>6.1 Structure map (extracted-unverified): Maryland corporation (inc. 2004-05-28), externally advised daily-valued perpetual-life REIT (REIT-taxed since 2004).</w:t>
            </w:r>
          </w:p>
          <w:p>
            <w:r>
              <w:t>6.2 Strategy &amp; instrument complexity (extracted-unverified): Core diversified US direct real estate: 'well-located, well-leased properties within the healthcare, industrial, residential, retail and other sectors' plus, to a lesser degree, real-estate-related assets (mortgage loans, RE debt/equity securities).</w:t>
            </w:r>
          </w:p>
          <w:p>
            <w:r>
              <w:t>6.3 Conflicts &amp; affiliated transactions (extracted-unverified): Printed conflicts web (all-affiliate stack): (1) Advisor LaSalle is paid on NAV it is ultimately responsible for calculating (fee-on-NAV conflict, quoted); (2) class-level performance fee can reward the Advisor on one class while another declines; (3) LaSalle allocation conflicts - advises other programs incl. the DST Program that compete for investments and tenants; Advisor chooses which properties to syndicate into the DST Program while Advisor and Dealer Manager 'earn fees from the DST Program'; (4) affiliated service payments FY2025: LaSalle fixed advisory fee $40,893K + employment-cost reimbursements; JLL Americas (property/construction mgmt, leasing, brokerage) $6,448K; Dealer Manager LaSalle Investment Management Distributors commissions+servicing $12,239K, DST fees $13,270K via the taxable REIT subsidiary; org/offering cost advances owed to LaSalle $3,049K; (5) JLL owned 2,521,801 M-I + 8,726,003 N shares (~$126,589K).</w:t>
            </w:r>
          </w:p>
          <w:p>
            <w:r>
              <w:t>6.5 Service-provider web (extracted-unverified): Advisor: LaSalle Investment Management, Inc. (wholly owned subsidiary of Sponsor JLL, NYSE: JLL).</w:t>
            </w:r>
          </w:p>
          <w:p>
            <w:r>
              <w:t>Not applicable: 6.4 zero hits for '1099' and 'K-1' across stripped 10-K, 10-Q and 424B3 (searched 2026-08-15). 6.6 requires plan-specific recordkeeper/trading integration facts - workflow cell completed per plan engagement, not public product data. 6.7 requires plan-committee participant-communication assessment - workflow cell; product-side inputs already evidenced in 6.1/6.2/6.4. 6.8 workflow, not data.</w:t>
            </w:r>
          </w:p>
        </w:tc>
      </w:tr>
    </w:tbl>
    <w:p>
      <w:pPr>
        <w:pStyle w:val="Heading1"/>
      </w:pPr>
      <w:r>
        <w:t>Benchmark selection and justification</w:t>
      </w:r>
    </w:p>
    <w:p>
      <w:pPr>
        <w:pStyle w:val="Heading2"/>
      </w:pPr>
      <w:r>
        <w:t>Primary: Listed REIT investable proxy (VNQ) (score 9/12)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2/3: the public-market version of the asset class (listed REITs for core non-traded real estate)</w:t>
      </w:r>
    </w:p>
    <w:p>
      <w:pPr>
        <w:pStyle w:val="ListBullet"/>
      </w:pPr>
      <w:r>
        <w:t>risk_liquidity_match 1/3: daily-liquid market proxy vs a semi-liquid NAV fund, vol and liquidity regimes differ</w:t>
      </w:r>
    </w:p>
    <w:p>
      <w:pPr>
        <w:pStyle w:val="ListBullet"/>
      </w:pPr>
      <w:r>
        <w:t>investability 2/2: computable on held data (daily series)</w:t>
      </w:r>
    </w:p>
    <w:p>
      <w:pPr>
        <w:pStyle w:val="ListBullet"/>
      </w:pPr>
      <w:r>
        <w:t>data_quality 2/2: daily series held</w:t>
      </w:r>
    </w:p>
    <w:p>
      <w:pPr>
        <w:pStyle w:val="ListBullet"/>
      </w:pPr>
      <w:r>
        <w:t>provider_independence 2/2: provider unaffiliated with the fund (Vanguard / MSCI US REIT): the registry affiliation map ties it to none of the fund's advisers</w:t>
      </w:r>
    </w:p>
    <w:p>
      <w:pPr>
        <w:pStyle w:val="Heading2"/>
      </w:pPr>
      <w:r>
        <w:t>Secondary: NCREIF Fund Index - ODCE (private core RE) (score 7/12)</w:t>
      </w:r>
    </w:p>
    <w:p>
      <w:r>
        <w:t>Comparison not computable on held data: no computable fund return series on record: no multi-year per-class return series is printed: the FY2025 10-K gives net total return only as a 3.0% to 3.8% range across classes and an 8-quarter NAV path without distributions (cells 1.1 and 1.2). The candidate is scored on its own descriptors.</w:t>
      </w:r>
    </w:p>
    <w:p>
      <w:pPr>
        <w:pStyle w:val="ListBullet"/>
      </w:pPr>
      <w:r>
        <w:t>strategy_match 3/3: a private-market index of real estate for a core non-traded real estate fund</w:t>
      </w:r>
    </w:p>
    <w:p>
      <w:pPr>
        <w:pStyle w:val="ListBullet"/>
      </w:pPr>
      <w:r>
        <w:t>risk_liquidity_match 2/3: NAV-class series, quarterly observations vs the fund's annual return data and an index, not a fund set, so leverage regime is not comparable</w:t>
      </w:r>
    </w:p>
    <w:p>
      <w:pPr>
        <w:pStyle w:val="ListBullet"/>
      </w:pPr>
      <w:r>
        <w:t>investability 0/2: index cited, series not held, not computable</w:t>
      </w:r>
    </w:p>
    <w:p>
      <w:pPr>
        <w:pStyle w:val="ListBullet"/>
      </w:pPr>
      <w:r>
        <w:t>data_quality 0/2: cited, not computed</w:t>
      </w:r>
    </w:p>
    <w:p>
      <w:pPr>
        <w:pStyle w:val="ListBullet"/>
      </w:pPr>
      <w:r>
        <w:t>provider_independence 2/2: provider unaffiliated with the fund (NCREIF): the registry affiliation map ties it to none of the fund's advisers</w:t>
      </w:r>
    </w:p>
    <w:p>
      <w:pPr>
        <w:pStyle w:val="Heading2"/>
      </w:pPr>
      <w:r>
        <w:t>Rejection log (candidates considered and not selected)</w:t>
      </w:r>
    </w:p>
    <w:tbl>
      <w:tblPr>
        <w:tblStyle w:val="TableGrid"/>
        <w:tblW w:type="auto" w:w="0"/>
        <w:tblLook w:firstColumn="1" w:firstRow="1" w:lastColumn="0" w:lastRow="0" w:noHBand="0" w:noVBand="1" w:val="04A0"/>
      </w:tblPr>
      <w:tblGrid>
        <w:gridCol w:w="3120"/>
        <w:gridCol w:w="3120"/>
        <w:gridCol w:w="3120"/>
      </w:tblGrid>
      <w:tr>
        <w:tc>
          <w:tcPr>
            <w:tcW w:type="dxa" w:w="3456"/>
          </w:tcPr>
          <w:p>
            <w:r>
              <w:t>Candidate</w:t>
            </w:r>
          </w:p>
        </w:tc>
        <w:tc>
          <w:tcPr>
            <w:tcW w:type="dxa" w:w="1152"/>
          </w:tcPr>
          <w:p>
            <w:r>
              <w:t>Score</w:t>
            </w:r>
          </w:p>
        </w:tc>
        <w:tc>
          <w:tcPr>
            <w:tcW w:type="dxa" w:w="4752"/>
          </w:tcPr>
          <w:p>
            <w:r>
              <w:t>Reason</w:t>
            </w:r>
          </w:p>
        </w:tc>
      </w:tr>
      <w:tr>
        <w:tc>
          <w:tcPr>
            <w:tcW w:type="dxa" w:w="3456"/>
          </w:tcPr>
          <w:p>
            <w:r>
              <w:t>Cambridge Associates Real Estate benchmark</w:t>
            </w:r>
          </w:p>
        </w:tc>
        <w:tc>
          <w:tcPr>
            <w:tcW w:type="dxa" w:w="1152"/>
          </w:tcPr>
          <w:p>
            <w:r>
              <w:t>7/12</w:t>
            </w:r>
          </w:p>
        </w:tc>
        <w:tc>
          <w:tcPr>
            <w:tcW w:type="dxa" w:w="4752"/>
          </w:tcPr>
          <w:p>
            <w:r>
              <w:t>outranked: score 7/12 vs primary 9/12 and secondary 7/12 (only two slots). Retained in log as viable alternate</w:t>
            </w:r>
          </w:p>
        </w:tc>
      </w:tr>
      <w:tr>
        <w:tc>
          <w:tcPr>
            <w:tcW w:type="dxa" w:w="3456"/>
          </w:tcPr>
          <w:p>
            <w:r>
              <w:t>Peer composite, non-traded real estate cohort without JLL Income Property Trust, Inc. (members: Blackstone Real Estate Income Trust Inc, Starwood Real Estate Income Trust, Inc.)</w:t>
            </w:r>
          </w:p>
        </w:tc>
        <w:tc>
          <w:tcPr>
            <w:tcW w:type="dxa" w:w="1152"/>
          </w:tcPr>
          <w:p>
            <w:r>
              <w:t>3/12</w:t>
            </w:r>
          </w:p>
        </w:tc>
        <w:tc>
          <w:tcPr>
            <w:tcW w:type="dxa" w:w="4752"/>
          </w:tcPr>
          <w:p>
            <w:r>
              <w:t>score 3/12 below primary threshold 7</w:t>
            </w:r>
          </w:p>
        </w:tc>
      </w:tr>
    </w:tbl>
    <w:p>
      <w:pPr>
        <w:pStyle w:val="Heading1"/>
      </w:pPr>
      <w:r>
        <w:t>Product-to-plan liquidity match</w:t>
      </w:r>
    </w:p>
    <w:p>
      <w:r>
        <w:t>Plan: US media/technology company 401(k) plan (~$570M, New York). verdict is structural (typed facts, cells 3.1, 3.3, 2.7, plan-independent). scenario_verdict is ILLUSTRATIVE (demand model against the same capacity, per plan).</w:t>
      </w:r>
    </w:p>
    <w:p>
      <w:pPr>
        <w:pStyle w:val="Heading2"/>
      </w:pPr>
      <w:r>
        <w:t>Structural verdict (typed facts, plan-independent)</w:t>
      </w:r>
    </w:p>
    <w:p>
      <w:r>
        <w:t>CONDITIONAL</w:t>
      </w:r>
    </w:p>
    <w:p>
      <w:pPr>
        <w:pStyle w:val="ListBullet"/>
      </w:pPr>
      <w:r>
        <w:t>STRUCTURAL GAP: a participant-directed 404(c) menu assumes daily pricing and daily participant liquidity, whereas this wrapper deals daily but only within a 5% cap per quarter on NAV. Direct DIA use requires a bridging structure: CIT sleeve, managed account, or TDF sleeve (cell 3.5).</w:t>
      </w:r>
    </w:p>
    <w:tbl>
      <w:tblPr>
        <w:tblStyle w:val="TableGrid"/>
        <w:tblW w:type="auto" w:w="0"/>
        <w:tblLook w:firstColumn="1" w:firstRow="1" w:lastColumn="0" w:lastRow="0" w:noHBand="0" w:noVBand="1" w:val="04A0"/>
      </w:tblPr>
      <w:tblGrid>
        <w:gridCol w:w="3120"/>
        <w:gridCol w:w="3120"/>
        <w:gridCol w:w="3120"/>
      </w:tblGrid>
      <w:tr>
        <w:tc>
          <w:tcPr>
            <w:tcW w:type="dxa" w:w="2448"/>
          </w:tcPr>
          <w:p>
            <w:r>
              <w:t>Wrapper fact</w:t>
            </w:r>
          </w:p>
        </w:tc>
        <w:tc>
          <w:tcPr>
            <w:tcW w:type="dxa" w:w="5760"/>
          </w:tcPr>
          <w:p>
            <w:r>
              <w:t>Value</w:t>
            </w:r>
          </w:p>
        </w:tc>
        <w:tc>
          <w:tcPr>
            <w:tcW w:type="dxa" w:w="1152"/>
          </w:tcPr>
          <w:p>
            <w:r>
              <w:t>Cell</w:t>
            </w:r>
          </w:p>
        </w:tc>
      </w:tr>
      <w:tr>
        <w:tc>
          <w:tcPr>
            <w:tcW w:type="dxa" w:w="2448"/>
          </w:tcPr>
          <w:p>
            <w:r>
              <w:t>Wrapper</w:t>
            </w:r>
          </w:p>
        </w:tc>
        <w:tc>
          <w:tcPr>
            <w:tcW w:type="dxa" w:w="5760"/>
          </w:tcPr>
          <w:p>
            <w:r>
              <w:t>non-traded REIT</w:t>
            </w:r>
          </w:p>
        </w:tc>
        <w:tc>
          <w:tcPr>
            <w:tcW w:type="dxa" w:w="1152"/>
          </w:tcPr>
          <w:p>
            <w:r>
              <w:t>6.1</w:t>
            </w:r>
          </w:p>
        </w:tc>
      </w:tr>
      <w:tr>
        <w:tc>
          <w:tcPr>
            <w:tcW w:type="dxa" w:w="2448"/>
          </w:tcPr>
          <w:p>
            <w:r>
              <w:t>Dealing terms</w:t>
            </w:r>
          </w:p>
        </w:tc>
        <w:tc>
          <w:tcPr>
            <w:tcW w:type="dxa" w:w="5760"/>
          </w:tcPr>
          <w:p>
            <w:r>
              <w:t>daily repurchase requests, 5% cap per quarter on NAV</w:t>
            </w:r>
          </w:p>
        </w:tc>
        <w:tc>
          <w:tcPr>
            <w:tcW w:type="dxa" w:w="1152"/>
          </w:tcPr>
          <w:p>
            <w:r>
              <w:t>3.1</w:t>
            </w:r>
          </w:p>
        </w:tc>
      </w:tr>
      <w:tr>
        <w:tc>
          <w:tcPr>
            <w:tcW w:type="dxa" w:w="2448"/>
          </w:tcPr>
          <w:p>
            <w:r>
              <w:t>Repurchase caps</w:t>
            </w:r>
          </w:p>
        </w:tc>
        <w:tc>
          <w:tcPr>
            <w:tcW w:type="dxa" w:w="5760"/>
          </w:tcPr>
          <w:p>
            <w:r>
              <w:t>5% per quarter, 20% per year</w:t>
            </w:r>
          </w:p>
        </w:tc>
        <w:tc>
          <w:tcPr>
            <w:tcW w:type="dxa" w:w="1152"/>
          </w:tcPr>
          <w:p>
            <w:r>
              <w:t>3.1</w:t>
            </w:r>
          </w:p>
        </w:tc>
      </w:tr>
      <w:tr>
        <w:tc>
          <w:tcPr>
            <w:tcW w:type="dxa" w:w="2448"/>
          </w:tcPr>
          <w:p>
            <w:r>
              <w:t>Annual capacity (binding cap)</w:t>
            </w:r>
          </w:p>
        </w:tc>
        <w:tc>
          <w:tcPr>
            <w:tcW w:type="dxa" w:w="5760"/>
          </w:tcPr>
          <w:p>
            <w:r>
              <w:t>20% of the position per year</w:t>
            </w:r>
          </w:p>
        </w:tc>
        <w:tc>
          <w:tcPr>
            <w:tcW w:type="dxa" w:w="1152"/>
          </w:tcPr>
          <w:p>
            <w:r>
              <w:t>3.1</w:t>
            </w:r>
          </w:p>
        </w:tc>
      </w:tr>
      <w:tr>
        <w:tc>
          <w:tcPr>
            <w:tcW w:type="dxa" w:w="2448"/>
          </w:tcPr>
          <w:p>
            <w:r>
              <w:t>Gating history</w:t>
            </w:r>
          </w:p>
        </w:tc>
        <w:tc>
          <w:tcPr>
            <w:tcW w:type="dxa" w:w="5760"/>
          </w:tcPr>
          <w:p>
            <w:r>
              <w:t>none identified in the filings on record</w:t>
            </w:r>
          </w:p>
        </w:tc>
        <w:tc>
          <w:tcPr>
            <w:tcW w:type="dxa" w:w="1152"/>
          </w:tcPr>
          <w:p>
            <w:r>
              <w:t>3.3</w:t>
            </w:r>
          </w:p>
        </w:tc>
      </w:tr>
      <w:tr>
        <w:tc>
          <w:tcPr>
            <w:tcW w:type="dxa" w:w="2448"/>
          </w:tcPr>
          <w:p>
            <w:r>
              <w:t>Repurchase program status</w:t>
            </w:r>
          </w:p>
        </w:tc>
        <w:tc>
          <w:tcPr>
            <w:tcW w:type="dxa" w:w="5760"/>
          </w:tcPr>
          <w:p>
            <w:r>
              <w:t>not typed: no suspension language in 3.1 or 3.3 as of 2025-12-31</w:t>
            </w:r>
          </w:p>
        </w:tc>
        <w:tc>
          <w:tcPr>
            <w:tcW w:type="dxa" w:w="1152"/>
          </w:tcPr>
          <w:p>
            <w:r>
              <w:t>3.1</w:t>
            </w:r>
          </w:p>
        </w:tc>
      </w:tr>
      <w:tr>
        <w:tc>
          <w:tcPr>
            <w:tcW w:type="dxa" w:w="2448"/>
          </w:tcPr>
          <w:p>
            <w:r>
              <w:t>Early repurchase fee</w:t>
            </w:r>
          </w:p>
        </w:tc>
        <w:tc>
          <w:tcPr>
            <w:tcW w:type="dxa" w:w="5760"/>
          </w:tcPr>
          <w:p>
            <w:r>
              <w:t>none at fund level (2.7)</w:t>
            </w:r>
          </w:p>
        </w:tc>
        <w:tc>
          <w:tcPr>
            <w:tcW w:type="dxa" w:w="1152"/>
          </w:tcPr>
          <w:p>
            <w:r>
              <w:t>2.7</w:t>
            </w:r>
          </w:p>
        </w:tc>
      </w:tr>
    </w:tbl>
    <w:p>
      <w:pPr>
        <w:pStyle w:val="Heading2"/>
      </w:pPr>
      <w:r>
        <w:t>Scenario (ILLUSTRATIVE, this plan)</w:t>
      </w:r>
    </w:p>
    <w:p>
      <w:r>
        <w:t>Plan inputs (Form 5500): net assets $565.8M, liquidity tail 36.1% of accounts (1,847 separated participants with balances).</w:t>
      </w:r>
    </w:p>
    <w:p>
      <w:r>
        <w:t>Parameters (adjustable on the site, not facts): allocation 5% of plan = $28.3M, tail turnover 20%/yr, active turnover 5%/yr. Base demand $2.9M/yr = 10.4% of the position vs annual wrapper capacity 20%.</w:t>
      </w:r>
    </w:p>
    <w:p>
      <w:r>
        <w:t>Stressed (tail turnover x2, active turnover x1.5 vs base scenario): demand $5.4M/yr = 19.2% of the position. within wrapper capacity (19.2% vs 20%) IF offers are not prorated.</w:t>
      </w:r>
    </w:p>
    <w:p>
      <w:r>
        <w:t>Scenario verdict (ILLUSTRATIVE, this plan): CONDITIONAL.</w:t>
      </w:r>
    </w:p>
    <w:p>
      <w:pPr>
        <w:pStyle w:val="ListBullet"/>
      </w:pPr>
      <w:r>
        <w:t>Capacity: 5% per quarter on NAV: at most 20% of the position per year. This is a FUND-level cap shared by every holder, so the plan's position is served only while offers are not oversubscribed.</w:t>
      </w:r>
    </w:p>
    <w:p>
      <w:pPr>
        <w:pStyle w:val="ListBullet"/>
      </w:pPr>
      <w:r>
        <w:t>Scenario demand (illustrative): 10.4% of the position per year vs 20% annual wrapper capacity. Adequate headroom at this allocation if offers are not prorated.</w:t>
      </w:r>
    </w:p>
    <w:p>
      <w:pPr>
        <w:pStyle w:val="ListBullet"/>
      </w:pPr>
      <w:r>
        <w:t>Scenario verdict (ILLUSTRATIVE, this plan): conditional. It moves with the sliders and the plan. Proration assumption: an oversubscribed offer is filled pro rata and the unfilled remainder waits for the next window.</w:t>
      </w:r>
    </w:p>
    <w:p>
      <w:pPr>
        <w:pStyle w:val="ListBullet"/>
      </w:pPr>
      <w:r>
        <w:t>Schedule H benefit-payment lines are not yet in the plan record. Demand uses the illustrative turnover sliders only.</w:t>
      </w:r>
    </w:p>
    <w:p>
      <w:r>
        <w:t>Cited: cell 2.7, cell 3.1, cell 3.3, plan: plan_tech_media.json (Form 5500, plan year 2024-01-01 to 2024-12-31).</w:t>
      </w:r>
    </w:p>
    <w:p>
      <w:pPr>
        <w:pStyle w:val="Heading1"/>
      </w:pPr>
      <w:r>
        <w:t>Peer cohort placement</w:t>
      </w:r>
    </w:p>
    <w:p>
      <w:r>
        <w:t>Evidence depth tier: COHORT. Cohort: Non-traded NAV REITs (n=3). Membership rationale: Perpetual NAV REIT of older vintage in the same wrapper class. NAV cadence and scale differences disclosed.</w:t>
      </w:r>
    </w:p>
    <w:p>
      <w:r>
        <w:t>Cohort placement (non-traded real estate cohort): mgmt fee: at the cohort median of 1.25 (n=3, too small for percentile language) | expense ratio (bases differ, see notes): fact unavailable for this member | repurchase cap: above the cohort median of 2 (n=3, too small for percentile language). Statistics and per-member values are in the cohort artifact, membership rationales in the typed facts.</w:t>
      </w:r>
    </w:p>
    <w:p>
      <w:pPr>
        <w:pStyle w:val="ListBullet"/>
      </w:pPr>
      <w:r>
        <w:t>Caveat: NAV-CADENCE MIX: daily, monthly, and quarterly NAV processes embed different appraisal smoothing. Volatility and drawdown comparisons inherit that difference (see de-smoothing lab). [typed per product: breit: monthly, jll_ipt: daily, sreit: monthly]</w:t>
      </w:r>
    </w:p>
    <w:p>
      <w:r>
        <w:t>Cohort exclusion log: every candidate considered and not admitted is recorded with its reason in the roster decisions record (rendered on the site's Cohorts view). Membership is an argued judgment, not a tag.</w:t>
      </w:r>
    </w:p>
    <w:p>
      <w:pPr>
        <w:pStyle w:val="Heading1"/>
      </w:pPr>
      <w:r>
        <w:t>Advisor-stated inputs (this plan)</w:t>
      </w:r>
    </w:p>
    <w:p>
      <w:r>
        <w:t>An advisor-stated cell is the adopting fiduciary's own input for its plan, signed and dated. It is not evidence, it is never extracted or verified, and the product record's cell stays as it is.</w:t>
      </w:r>
    </w:p>
    <w:p>
      <w:r>
        <w:t>None stated for US media/technology company 401(k) plan (~$570M, New York). The six committee cells (6.6 Plan operational fit, 6.8 Fiduciary capacity self-assessment, 3.7 Plan participant liquidity demand, 2.8 CIT fee schedule, 3.5 TDF/CIT liquidity sleeve, 4.9 CIT unit valuation) remain open.</w:t>
      </w:r>
    </w:p>
    <w:p>
      <w:pPr>
        <w:pStyle w:val="Heading1"/>
      </w:pPr>
      <w:r>
        <w:t>Recommendation</w:t>
      </w:r>
    </w:p>
    <w:p>
      <w:r>
        <w:t>Structural liquidity verdict: CONDITIONAL (typed facts, plan-independent). Scenario verdict under US media/technology company 401(k) plan (~$570M, New York) (ILLUSTRATIVE): CONDITIONAL.</w:t>
      </w:r>
    </w:p>
    <w:p>
      <w:r>
        <w:t>Benchmark: Listed REIT investable proxy (VNQ) selected as primary at 9/12, secondary NCREIF Fund Index - ODCE (private core RE) at 7/12.</w:t>
      </w:r>
    </w:p>
    <w:p>
      <w:r>
        <w:t>Flags raised by the record (each restates a typed value or verdict already in the artifacts, with its source):</w:t>
      </w:r>
    </w:p>
    <w:p>
      <w:pPr>
        <w:pStyle w:val="ListBullet"/>
      </w:pPr>
      <w:r>
        <w:t>none</w:t>
      </w:r>
    </w:p>
    <w:p>
      <w:r>
        <w:t>This memo does not decide. The fiduciary makes the decision on this record. The committee-completed cells stay the committee's to complete for its own plan before it does: 6.6 Plan operational fit (open), 6.8 Fiduciary capacity self-assessment (open), 3.7 Plan participant liquidity demand (open), 2.8 CIT fee schedule (open), 3.5 TDF/CIT liquidity sleeve (open), 4.9 CIT unit valuation (open).</w:t>
      </w:r>
    </w:p>
    <w:p>
      <w:pPr>
        <w:pStyle w:val="Heading1"/>
      </w:pPr>
      <w:r>
        <w:t>Scope</w:t>
      </w:r>
    </w:p>
    <w:p>
      <w:r>
        <w:t>This memo records the evaluation of one product as a candidate designated investment alternative for one plan, on the record as of 2026-09-04. It is a selection record. It is not a monitoring record, and nothing in it states a monitoring cadence or a later review.</w:t>
      </w:r>
    </w:p>
    <w:p>
      <w:r>
        <w:t>Every figure in it is a cited cell, a typed projection of a cited cell, or a computation from cited series. Every scenario figure is labeled ILLUSTRATIVE. Cells marked extracted-unverified were extracted by an agent and not yet verified by a person. Verbatim regulatory text is not in this build: the regulation is cited by Federal Register citation and RIN, not paraphrased.</w:t>
      </w:r>
    </w:p>
    <w:p>
      <w:pPr>
        <w:pStyle w:val="Heading1"/>
      </w:pPr>
      <w:r>
        <w:t>Case law</w:t>
      </w:r>
    </w:p>
    <w:p>
      <w:r>
        <w:t>Cell 5.7 (partial): Anderson v. Intel Corp. Investment Policy Committee, No. 25-498 (U.S.). Certiorari granted 2026-01-16 per the Supreme Court docket listing. Question presented, per the docket as relayed in search-result snippets: whether, for claims predicated on fund underperformance, pleading that an ERISA fiduciary breached the duty of prudence requires alleging a meaningful benchmark. The Ninth Circuit had required plaintiffs to identify a comparable alternative giving a sound basis for comparison, a meaningful benchmark. Argument is listed for the October 2026 term and had not been held as of 2026-09-04. No holding exists yet, and this cell draws no consequence for the evaluation. Status partial: assembled from the docket listing and search snippets, not from the source documents, which this build could not fetch.</w:t>
      </w:r>
    </w:p>
    <w:p>
      <w:r>
        <w:t>Source: 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 Extracted: Claude Code (WebSearch snippet, 2026-09-04)</w:t>
      </w:r>
    </w:p>
    <w:p>
      <w:pPr>
        <w:pStyle w:val="Heading1"/>
      </w:pPr>
      <w:r>
        <w:t>Provenance</w:t>
      </w:r>
    </w:p>
    <w:p>
      <w:r>
        <w:t>Cell status for this product, from the record's one coverage formula: structured 0, extracted-unverified 24, verified 0, computed 5, partial 5, fetched 1, n/a 19, pending 0. 35 of 35 resolvable, 0 verified, 19 n/a by wrapper.</w:t>
      </w:r>
    </w:p>
    <w:p>
      <w:r>
        <w:t>Of the 34 evidenced cells, 34 carry a source document, 34 a section, 29 a verbatim quote (computed cells carry their computation and inputs instead of a quote) and 34 an extractor. No cell is verified: no cell has been independently re-checked by a person, and verified_by is empty on every row. Cells marked extracted-unverified were extracted by an agent from the cited document. Cells marked structured come directly from machine-readable regulatory datasets with the dataset cited.</w:t>
      </w:r>
    </w:p>
    <w:p>
      <w:pPr>
        <w:pStyle w:val="Heading2"/>
      </w:pPr>
      <w:r>
        <w:t>Sources cited</w:t>
      </w:r>
    </w:p>
    <w:p>
      <w:r>
        <w:t>Each evidenced cell's source document as written in the evidence ledger, with the SEC accession and EDGAR URL resolved against the filing manifest. Where no filing reference resolves, the row says accession not on record.</w:t>
      </w:r>
    </w:p>
    <w:tbl>
      <w:tblPr>
        <w:tblStyle w:val="TableGrid"/>
        <w:tblW w:type="auto" w:w="0"/>
        <w:tblLook w:firstColumn="1" w:firstRow="1" w:lastColumn="0" w:lastRow="0" w:noHBand="0" w:noVBand="1" w:val="04A0"/>
      </w:tblPr>
      <w:tblGrid>
        <w:gridCol w:w="3120"/>
        <w:gridCol w:w="3120"/>
        <w:gridCol w:w="3120"/>
      </w:tblGrid>
      <w:tr>
        <w:tc>
          <w:tcPr>
            <w:tcW w:type="dxa" w:w="720"/>
          </w:tcPr>
          <w:p>
            <w:r>
              <w:t>Cell</w:t>
            </w:r>
          </w:p>
        </w:tc>
        <w:tc>
          <w:tcPr>
            <w:tcW w:type="dxa" w:w="3456"/>
          </w:tcPr>
          <w:p>
            <w:r>
              <w:t>Source as written</w:t>
            </w:r>
          </w:p>
        </w:tc>
        <w:tc>
          <w:tcPr>
            <w:tcW w:type="dxa" w:w="5184"/>
          </w:tcPr>
          <w:p>
            <w:r>
              <w:t>Accession and EDGAR URL</w:t>
            </w:r>
          </w:p>
        </w:tc>
      </w:tr>
      <w:tr>
        <w:tc>
          <w:tcPr>
            <w:tcW w:type="dxa" w:w="720"/>
          </w:tcPr>
          <w:p>
            <w:r>
              <w:t>1.1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1.2</w:t>
            </w:r>
          </w:p>
        </w:tc>
        <w:tc>
          <w:tcPr>
            <w:tcW w:type="dxa" w:w="3456"/>
          </w:tcPr>
          <w:p>
            <w:r>
              <w:t>Form 10-Q Q2-2026 (filed 2026-08-11); Form 10-K FY2025 (filed 2026-03-26)</w:t>
            </w:r>
          </w:p>
        </w:tc>
        <w:tc>
          <w:tcPr>
            <w:tcW w:type="dxa" w:w="5184"/>
          </w:tcPr>
          <w:p>
            <w:r>
              <w:t>10-Q 2026-08-11 accession 0001314152-26-000149 https://www.sec.gov/Archives/edgar/data/1314152/000131415226000149/jllipt-20260630.htm</w:t>
            </w:r>
          </w:p>
          <w:p>
            <w:r>
              <w:t>10-K 2026-03-26 accession 0001314152-26-000030 https://www.sec.gov/Archives/edgar/data/1314152/000131415226000030/jllipt-20251231.htm</w:t>
            </w:r>
          </w:p>
        </w:tc>
      </w:tr>
      <w:tr>
        <w:tc>
          <w:tcPr>
            <w:tcW w:type="dxa" w:w="720"/>
          </w:tcPr>
          <w:p>
            <w:r>
              <w:t>1.3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1.4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1.5</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1.11</w:t>
            </w:r>
          </w:p>
        </w:tc>
        <w:tc>
          <w:tcPr>
            <w:tcW w:type="dxa" w:w="3456"/>
          </w:tcPr>
          <w:p>
            <w:r>
              <w:t>Form 10-K FY2025 (filed 2026-03-26); 424B3 Supplement No. 7 (filed 2026-08-12); Form 10-Q Q2-2026 (filed 2026-08-11)</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p>
            <w:r>
              <w:t>10-Q 2026-08-11 accession 0001314152-26-000149 https://www.sec.gov/Archives/edgar/data/1314152/000131415226000149/jllipt-20260630.htm</w:t>
            </w:r>
          </w:p>
        </w:tc>
      </w:tr>
      <w:tr>
        <w:tc>
          <w:tcPr>
            <w:tcW w:type="dxa" w:w="720"/>
          </w:tcPr>
          <w:p>
            <w:r>
              <w:t>2.1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2.2</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2.3</w:t>
            </w:r>
          </w:p>
        </w:tc>
        <w:tc>
          <w:tcPr>
            <w:tcW w:type="dxa" w:w="3456"/>
          </w:tcPr>
          <w:p>
            <w:r>
              <w:t>Form 10-K FY2025 (filed 2026-03-26); Form 10-Q Q2-2026 (filed 2026-08-11) - mechanical absence search 2026-08-15</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2.4</w:t>
            </w:r>
          </w:p>
        </w:tc>
        <w:tc>
          <w:tcPr>
            <w:tcW w:type="dxa" w:w="3456"/>
          </w:tcPr>
          <w:p>
            <w:r>
              <w:t>Form 10-K FY2025 (filed 2026-03-26) - mechanical absence search 2026-08-15</w:t>
            </w:r>
          </w:p>
        </w:tc>
        <w:tc>
          <w:tcPr>
            <w:tcW w:type="dxa" w:w="5184"/>
          </w:tcPr>
          <w:p>
            <w:r>
              <w:t>10-K 2026-03-26 accession 0001314152-26-000030 https://www.sec.gov/Archives/edgar/data/1314152/000131415226000030/jllipt-20251231.htm</w:t>
            </w:r>
          </w:p>
        </w:tc>
      </w:tr>
      <w:tr>
        <w:tc>
          <w:tcPr>
            <w:tcW w:type="dxa" w:w="720"/>
          </w:tcPr>
          <w:p>
            <w:r>
              <w:t>2.6</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2.7</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2.9</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3.1</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3.3</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3.4</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3.6</w:t>
            </w:r>
          </w:p>
        </w:tc>
        <w:tc>
          <w:tcPr>
            <w:tcW w:type="dxa" w:w="3456"/>
          </w:tcPr>
          <w:p>
            <w:r>
              <w:t>Form 10-K FY2025 (filed 2026-03-26); Form 10-Q Q2-2026 (filed 2026-08-11)</w:t>
            </w:r>
          </w:p>
        </w:tc>
        <w:tc>
          <w:tcPr>
            <w:tcW w:type="dxa" w:w="5184"/>
          </w:tcPr>
          <w:p>
            <w:r>
              <w:t>10-K 2026-03-26 accession 0001314152-26-000030 https://www.sec.gov/Archives/edgar/data/1314152/000131415226000030/jllipt-20251231.htm</w:t>
            </w:r>
          </w:p>
          <w:p>
            <w:r>
              <w:t>10-Q 2026-08-11 accession 0001314152-26-000149 https://www.sec.gov/Archives/edgar/data/1314152/000131415226000149/jllipt-20260630.htm</w:t>
            </w:r>
          </w:p>
        </w:tc>
      </w:tr>
      <w:tr>
        <w:tc>
          <w:tcPr>
            <w:tcW w:type="dxa" w:w="720"/>
          </w:tcPr>
          <w:p>
            <w:r>
              <w:t>3.8</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3.9</w:t>
            </w:r>
          </w:p>
        </w:tc>
        <w:tc>
          <w:tcPr>
            <w:tcW w:type="dxa" w:w="3456"/>
          </w:tcPr>
          <w:p>
            <w:r>
              <w:t>liquidity match artifacts (JLL Income Property Trust, Inc., four reference plans)</w:t>
            </w:r>
          </w:p>
        </w:tc>
        <w:tc>
          <w:tcPr>
            <w:tcW w:type="dxa" w:w="5184"/>
          </w:tcPr>
          <w:p>
            <w:r>
              <w:t>accession not on record: no filing reference in the source field</w:t>
            </w:r>
          </w:p>
        </w:tc>
      </w:tr>
      <w:tr>
        <w:tc>
          <w:tcPr>
            <w:tcW w:type="dxa" w:w="720"/>
          </w:tcPr>
          <w:p>
            <w:r>
              <w:t>4.1</w:t>
            </w:r>
          </w:p>
        </w:tc>
        <w:tc>
          <w:tcPr>
            <w:tcW w:type="dxa" w:w="3456"/>
          </w:tcPr>
          <w:p>
            <w:r>
              <w:t>Form 10-K FY2025 (filed 2026-03-26); 424B3 Supplement No. 7 (filed 2026-08-12)</w:t>
            </w:r>
          </w:p>
        </w:tc>
        <w:tc>
          <w:tcPr>
            <w:tcW w:type="dxa" w:w="5184"/>
          </w:tcPr>
          <w:p>
            <w:r>
              <w:t>10-K 2026-03-26 accession 0001314152-26-000030 https://www.sec.gov/Archives/edgar/data/1314152/000131415226000030/jllipt-20251231.htm</w:t>
            </w:r>
          </w:p>
          <w:p>
            <w:r>
              <w:t>424B3 2026-08-12 accession 0001314152-26-000153 https://www.sec.gov/Archives/edgar/data/1314152/000131415226000153/supp7august122026.htm</w:t>
            </w:r>
          </w:p>
        </w:tc>
      </w:tr>
      <w:tr>
        <w:tc>
          <w:tcPr>
            <w:tcW w:type="dxa" w:w="720"/>
          </w:tcPr>
          <w:p>
            <w:r>
              <w:t>4.2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4.4</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4.6</w:t>
            </w:r>
          </w:p>
        </w:tc>
        <w:tc>
          <w:tcPr>
            <w:tcW w:type="dxa" w:w="3456"/>
          </w:tcPr>
          <w:p>
            <w:r>
              <w:t>All three on-disk JLL IPT filings (mechanical search 2026-08-15)</w:t>
            </w:r>
          </w:p>
        </w:tc>
        <w:tc>
          <w:tcPr>
            <w:tcW w:type="dxa" w:w="5184"/>
          </w:tcPr>
          <w:p>
            <w:r>
              <w:t>accession not on record: no filing reference in the source field</w:t>
            </w:r>
          </w:p>
        </w:tc>
      </w:tr>
      <w:tr>
        <w:tc>
          <w:tcPr>
            <w:tcW w:type="dxa" w:w="720"/>
          </w:tcPr>
          <w:p>
            <w:r>
              <w:t>5.1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5.4</w:t>
            </w:r>
          </w:p>
        </w:tc>
        <w:tc>
          <w:tcPr>
            <w:tcW w:type="dxa" w:w="3456"/>
          </w:tcPr>
          <w:p>
            <w:r>
              <w:t>cohort artifact (non-traded real estate cohort)</w:t>
            </w:r>
          </w:p>
        </w:tc>
        <w:tc>
          <w:tcPr>
            <w:tcW w:type="dxa" w:w="5184"/>
          </w:tcPr>
          <w:p>
            <w:r>
              <w:t>accession not on record: no filing reference in the source field</w:t>
            </w:r>
          </w:p>
        </w:tc>
      </w:tr>
      <w:tr>
        <w:tc>
          <w:tcPr>
            <w:tcW w:type="dxa" w:w="720"/>
          </w:tcPr>
          <w:p>
            <w:r>
              <w:t>5.6</w:t>
            </w:r>
          </w:p>
        </w:tc>
        <w:tc>
          <w:tcPr>
            <w:tcW w:type="dxa" w:w="3456"/>
          </w:tcPr>
          <w:p>
            <w:r>
              <w:t>benchmark selection artifact (JLL Income Property Trust, Inc.)</w:t>
            </w:r>
          </w:p>
        </w:tc>
        <w:tc>
          <w:tcPr>
            <w:tcW w:type="dxa" w:w="5184"/>
          </w:tcPr>
          <w:p>
            <w:r>
              <w:t>accession not on record: no filing reference in the source field</w:t>
            </w:r>
          </w:p>
        </w:tc>
      </w:tr>
      <w:tr>
        <w:tc>
          <w:tcPr>
            <w:tcW w:type="dxa" w:w="720"/>
          </w:tcPr>
          <w:p>
            <w:r>
              <w:t>5.7</w:t>
            </w:r>
          </w:p>
        </w:tc>
        <w:tc>
          <w:tcPr>
            <w:tcW w:type="dxa" w:w="3456"/>
          </w:tcPr>
          <w:p>
            <w:r>
              <w:t>Supreme Court docket 25-498, https://www.supremecourt.gov/docket/docketfiles/html/public/25-498.html (grant date). SCOTUSblog case page, https://www.scotusblog.com/cases/anderson-v-intel-corp-investment-policy-comm/ and CRS Legal Sidebar LSB11396, https://www.congress.gov/crs-product/LSB11396 (question presented, argument term). Accessed 2026-09-04 through web-search snippets only.</w:t>
            </w:r>
          </w:p>
        </w:tc>
        <w:tc>
          <w:tcPr>
            <w:tcW w:type="dxa" w:w="5184"/>
          </w:tcPr>
          <w:p>
            <w:r>
              <w:t>accession not on record: no filing reference in the source field</w:t>
            </w:r>
          </w:p>
        </w:tc>
      </w:tr>
      <w:tr>
        <w:tc>
          <w:tcPr>
            <w:tcW w:type="dxa" w:w="720"/>
          </w:tcPr>
          <w:p>
            <w:r>
              <w:t>6.1</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6.2</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6.3</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r>
        <w:tc>
          <w:tcPr>
            <w:tcW w:type="dxa" w:w="720"/>
          </w:tcPr>
          <w:p>
            <w:r>
              <w:t>6.5</w:t>
            </w:r>
          </w:p>
        </w:tc>
        <w:tc>
          <w:tcPr>
            <w:tcW w:type="dxa" w:w="3456"/>
          </w:tcPr>
          <w:p>
            <w:r>
              <w:t>Form 10-K FY2025 (filed 2026-03-26)</w:t>
            </w:r>
          </w:p>
        </w:tc>
        <w:tc>
          <w:tcPr>
            <w:tcW w:type="dxa" w:w="5184"/>
          </w:tcPr>
          <w:p>
            <w:r>
              <w:t>10-K 2026-03-26 accession 0001314152-26-000030 https://www.sec.gov/Archives/edgar/data/1314152/000131415226000030/jllipt-20251231.htm</w:t>
            </w:r>
          </w:p>
        </w:tc>
      </w:tr>
    </w:tbl>
    <w:p>
      <w:r>
        <w:t>Data sources: SEC EDGAR filings (3 held for this product in the filing manifest, every row with its accession) and DOL EBSA Form 5500 data for the plan, shown under its anonymized label.</w:t>
      </w:r>
    </w:p>
    <w:p>
      <w:pPr>
        <w:jc w:val="left"/>
      </w:pPr>
      <w:r>
        <w:br/>
        <w:t>Prepared by: ______________________    Reviewed by: ______________________    Date: 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