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Committee packet</w:t>
      </w:r>
    </w:p>
    <w:p>
      <w:r>
        <w:rPr>
          <w:b/>
        </w:rPr>
        <w:t>Plan: US media/technology company 401(k) plan (~$570M, New York)</w:t>
        <w:br/>
      </w:r>
      <w:r>
        <w:t>Product: Blue Owl Credit Income Corp. (perpetual-life non-traded BDC (quarterly 13e-4 tenders), CIK 1812554)</w:t>
        <w:br/>
      </w:r>
      <w:r>
        <w:t>Record as of 2026-09-04. DRAFT, generated by the build from the record. The decision memo for the same plan and product is a separate document.</w:t>
      </w:r>
    </w:p>
    <w:p>
      <w:pPr>
        <w:pStyle w:val="Heading1"/>
      </w:pPr>
      <w:r>
        <w:t>Summary</w:t>
      </w:r>
    </w:p>
    <w:p>
      <w:r>
        <w:t>Structural liquidity verdict: PARTIAL (typed facts, plan-independent). Scenario verdict under this plan (ILLUSTRATIVE, default sliders): CONDITIONAL.</w:t>
      </w:r>
    </w:p>
    <w:p>
      <w:r>
        <w:t>Benchmark: Peer composite, private credit cohort without Blue Owl Credit Income Corp. (members: Blackstone Private Credit Fund, CION Ares Diversified Credit Fund, Cliffwater Corporate Lending Fund, PIMCO Flexible Credit Income Fund) at 9/12, relative wealth ratio 0.9973 vs the peer composite, annualized excess return -0.05%/yr (not a public market equivalent) over FY2021 to FY2025.</w:t>
      </w:r>
    </w:p>
    <w:p>
      <w:r>
        <w:t>Flags raised by the record (each restates a typed value or verdict, with its source):</w:t>
      </w:r>
    </w:p>
    <w:p>
      <w:pPr>
        <w:pStyle w:val="ListBullet"/>
      </w:pPr>
      <w:r>
        <w:t>Liquidity: structural verdict partial, facts missing: gate_history (cells 3.1, 3.3)</w:t>
      </w:r>
    </w:p>
    <w:p>
      <w:r>
        <w:t>Evidence coverage: 44 of 44 resolvable, 0 verified, 10 n/a by wrapper. Verified by a person: 0. Advisor-stated inputs for this plan: 0 of 6.</w:t>
      </w:r>
    </w:p>
    <w:p>
      <w:r>
        <w:t>The committee makes the decision on this record. This packet does not decide.</w:t>
      </w:r>
    </w:p>
    <w:p>
      <w:pPr>
        <w:pStyle w:val="Heading1"/>
      </w:pPr>
      <w:r>
        <w:t>Exhibit A. Benchmark selection and rejection ledger</w:t>
      </w:r>
    </w:p>
    <w:p>
      <w:r>
        <w:t>Tark benchmark rubric, 12 points, threshold 7 of 12, strategy gate. Max attainable on held data 9/12.</w:t>
      </w:r>
    </w:p>
    <w:tbl>
      <w:tblPr>
        <w:tblStyle w:val="TableGrid"/>
        <w:tblW w:type="auto" w:w="0"/>
        <w:tblLook w:firstColumn="1" w:firstRow="1" w:lastColumn="0" w:lastRow="0" w:noHBand="0" w:noVBand="1" w:val="04A0"/>
      </w:tblPr>
      <w:tblGrid>
        <w:gridCol w:w="2340"/>
        <w:gridCol w:w="2340"/>
        <w:gridCol w:w="2340"/>
        <w:gridCol w:w="2340"/>
      </w:tblGrid>
      <w:tr>
        <w:tc>
          <w:tcPr>
            <w:tcW w:type="dxa" w:w="1152"/>
          </w:tcPr>
          <w:p>
            <w:r>
              <w:t>Slot</w:t>
            </w:r>
          </w:p>
        </w:tc>
        <w:tc>
          <w:tcPr>
            <w:tcW w:type="dxa" w:w="3456"/>
          </w:tcPr>
          <w:p>
            <w:r>
              <w:t>Candidate</w:t>
            </w:r>
          </w:p>
        </w:tc>
        <w:tc>
          <w:tcPr>
            <w:tcW w:type="dxa" w:w="864"/>
          </w:tcPr>
          <w:p>
            <w:r>
              <w:t>Score</w:t>
            </w:r>
          </w:p>
        </w:tc>
        <w:tc>
          <w:tcPr>
            <w:tcW w:type="dxa" w:w="3888"/>
          </w:tcPr>
          <w:p>
            <w:r>
              <w:t>Outcome</w:t>
            </w:r>
          </w:p>
        </w:tc>
      </w:tr>
      <w:tr>
        <w:tc>
          <w:tcPr>
            <w:tcW w:type="dxa" w:w="1152"/>
          </w:tcPr>
          <w:p>
            <w:r>
              <w:t>primary</w:t>
            </w:r>
          </w:p>
        </w:tc>
        <w:tc>
          <w:tcPr>
            <w:tcW w:type="dxa" w:w="3456"/>
          </w:tcPr>
          <w:p>
            <w:r>
              <w:t>Peer composite, private credit cohort without Blue Owl Credit Income Corp. (members: Blackstone Private Credit Fund, CION Ares Diversified Credit Fund, Cliffwater Corporate Lending Fund, PIMCO Flexible Credit Income Fund)</w:t>
            </w:r>
          </w:p>
        </w:tc>
        <w:tc>
          <w:tcPr>
            <w:tcW w:type="dxa" w:w="864"/>
          </w:tcPr>
          <w:p>
            <w:r>
              <w:t>9/12</w:t>
            </w:r>
          </w:p>
        </w:tc>
        <w:tc>
          <w:tcPr>
            <w:tcW w:type="dxa" w:w="3888"/>
          </w:tcPr>
          <w:p>
            <w:r>
              <w:t>relative wealth ratio 0.9973 vs the peer composite, annualized excess return -0.05%/yr (not a public market equivalent), FY2021 to FY2025</w:t>
            </w:r>
          </w:p>
        </w:tc>
      </w:tr>
      <w:tr>
        <w:tc>
          <w:tcPr>
            <w:tcW w:type="dxa" w:w="1152"/>
          </w:tcPr>
          <w:p>
            <w:r>
              <w:t>secondary</w:t>
            </w:r>
          </w:p>
        </w:tc>
        <w:tc>
          <w:tcPr>
            <w:tcW w:type="dxa" w:w="3456"/>
          </w:tcPr>
          <w:p>
            <w:r>
              <w:t>Senior loan investable proxy (BKLN, for Morningstar LSTA class)</w:t>
            </w:r>
          </w:p>
        </w:tc>
        <w:tc>
          <w:tcPr>
            <w:tcW w:type="dxa" w:w="864"/>
          </w:tcPr>
          <w:p>
            <w:r>
              <w:t>9/12</w:t>
            </w:r>
          </w:p>
        </w:tc>
        <w:tc>
          <w:tcPr>
            <w:tcW w:type="dxa" w:w="3888"/>
          </w:tcPr>
          <w:p>
            <w:r>
              <w:t>KS-PME 1.1541, Direct Alpha 2.91%/yr, 2021-01-01 to 2025-12-31</w:t>
            </w:r>
          </w:p>
        </w:tc>
      </w:tr>
      <w:tr>
        <w:tc>
          <w:tcPr>
            <w:tcW w:type="dxa" w:w="1152"/>
          </w:tcPr>
          <w:p>
            <w:r>
              <w:t>rejected</w:t>
            </w:r>
          </w:p>
        </w:tc>
        <w:tc>
          <w:tcPr>
            <w:tcW w:type="dxa" w:w="3456"/>
          </w:tcPr>
          <w:p>
            <w:r>
              <w:t>Cliffwater Direct Lending Index (CDLI)</w:t>
            </w:r>
          </w:p>
        </w:tc>
        <w:tc>
          <w:tcPr>
            <w:tcW w:type="dxa" w:w="864"/>
          </w:tcPr>
          <w:p>
            <w:r>
              <w:t>7/12</w:t>
            </w:r>
          </w:p>
        </w:tc>
        <w:tc>
          <w:tcPr>
            <w:tcW w:type="dxa" w:w="3888"/>
          </w:tcPr>
          <w:p>
            <w:r>
              <w:t>outranked: score 7/12 vs primary 9/12 and secondary 9/12 (only two slots). Retained in log as viable alternate</w:t>
            </w:r>
          </w:p>
        </w:tc>
      </w:tr>
    </w:tbl>
    <w:p>
      <w:pPr>
        <w:pStyle w:val="Heading1"/>
      </w:pPr>
      <w:r>
        <w:t>Exhibit B. Liquidity match for this plan</w:t>
      </w:r>
    </w:p>
    <w:p>
      <w:pPr>
        <w:pStyle w:val="Heading1"/>
      </w:pPr>
      <w:r>
        <w:t>Product-to-plan liquidity match</w:t>
      </w:r>
    </w:p>
    <w:p>
      <w:r>
        <w:t>Plan: US media/technology company 401(k) plan (~$570M, New York). verdict is structural (typed facts, cells 3.1, 3.3, 2.7, plan-independent). scenario_verdict is ILLUSTRATIVE (demand model against the same capacity, per plan).</w:t>
      </w:r>
    </w:p>
    <w:p>
      <w:pPr>
        <w:pStyle w:val="Heading2"/>
      </w:pPr>
      <w:r>
        <w:t>Structural verdict (typed facts, plan-independent)</w:t>
      </w:r>
    </w:p>
    <w:p>
      <w:r>
        <w:t>PARTIAL</w:t>
      </w:r>
    </w:p>
    <w:p>
      <w:pPr>
        <w:pStyle w:val="ListBullet"/>
      </w:pPr>
      <w:r>
        <w:t>STRUCTURAL GAP: a participant-directed 404(c) menu assumes daily pricing and daily participant liquidity, whereas this wrapper deals quarterly with a 5% cap per quarter on outstanding shares. Direct DIA use requires a bridging structure: CIT sleeve, managed account, or TDF sleeve (cell 3.5).</w:t>
      </w:r>
    </w:p>
    <w:p>
      <w:pPr>
        <w:pStyle w:val="ListBullet"/>
      </w:pPr>
      <w:r>
        <w:t>Facts missing for a structural verdict: gate_history (12 consecutive quarterly tenders completed FY2023-FY2025 with no disclosed suspension, BUT tendered-vs-repurchased counts are never disclosed - proration cannot be ruled out from public filings, so a clean False would overclaim). The verdict stays partial until they are typed from the filings.</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non-traded BDC</w:t>
            </w:r>
          </w:p>
        </w:tc>
        <w:tc>
          <w:tcPr>
            <w:tcW w:type="dxa" w:w="1152"/>
          </w:tcPr>
          <w:p>
            <w:r>
              <w:t>6.1</w:t>
            </w:r>
          </w:p>
        </w:tc>
      </w:tr>
      <w:tr>
        <w:tc>
          <w:tcPr>
            <w:tcW w:type="dxa" w:w="2448"/>
          </w:tcPr>
          <w:p>
            <w:r>
              <w:t>Dealing terms</w:t>
            </w:r>
          </w:p>
        </w:tc>
        <w:tc>
          <w:tcPr>
            <w:tcW w:type="dxa" w:w="5760"/>
          </w:tcPr>
          <w:p>
            <w:r>
              <w:t>quarterly offers, 5% cap per quarter on outstanding shares</w:t>
            </w:r>
          </w:p>
        </w:tc>
        <w:tc>
          <w:tcPr>
            <w:tcW w:type="dxa" w:w="1152"/>
          </w:tcPr>
          <w:p>
            <w:r>
              <w:t>3.1</w:t>
            </w:r>
          </w:p>
        </w:tc>
      </w:tr>
      <w:tr>
        <w:tc>
          <w:tcPr>
            <w:tcW w:type="dxa" w:w="2448"/>
          </w:tcPr>
          <w:p>
            <w:r>
              <w:t>Repurchase caps</w:t>
            </w:r>
          </w:p>
        </w:tc>
        <w:tc>
          <w:tcPr>
            <w:tcW w:type="dxa" w:w="5760"/>
          </w:tcPr>
          <w:p>
            <w:r>
              <w:t>5% per quarter, 20% per year</w:t>
            </w:r>
          </w:p>
        </w:tc>
        <w:tc>
          <w:tcPr>
            <w:tcW w:type="dxa" w:w="1152"/>
          </w:tcPr>
          <w:p>
            <w:r>
              <w:t>3.1</w:t>
            </w:r>
          </w:p>
        </w:tc>
      </w:tr>
      <w:tr>
        <w:tc>
          <w:tcPr>
            <w:tcW w:type="dxa" w:w="2448"/>
          </w:tcPr>
          <w:p>
            <w:r>
              <w:t>Annual capacity (binding cap)</w:t>
            </w:r>
          </w:p>
        </w:tc>
        <w:tc>
          <w:tcPr>
            <w:tcW w:type="dxa" w:w="5760"/>
          </w:tcPr>
          <w:p>
            <w:r>
              <w:t>20% of the position per year</w:t>
            </w:r>
          </w:p>
        </w:tc>
        <w:tc>
          <w:tcPr>
            <w:tcW w:type="dxa" w:w="1152"/>
          </w:tcPr>
          <w:p>
            <w:r>
              <w:t>3.1</w:t>
            </w:r>
          </w:p>
        </w:tc>
      </w:tr>
      <w:tr>
        <w:tc>
          <w:tcPr>
            <w:tcW w:type="dxa" w:w="2448"/>
          </w:tcPr>
          <w:p>
            <w:r>
              <w:t>Gating history</w:t>
            </w:r>
          </w:p>
        </w:tc>
        <w:tc>
          <w:tcPr>
            <w:tcW w:type="dxa" w:w="5760"/>
          </w:tcPr>
          <w:p>
            <w:r>
              <w:t>not typed: 12 consecutive quarterly tenders completed FY2023-FY2025 with no disclosed suspension, BUT tendered-vs-repurchased counts are never disclosed - proration cannot be ruled out from public filings, so a clean False would overclaim</w:t>
            </w:r>
          </w:p>
        </w:tc>
        <w:tc>
          <w:tcPr>
            <w:tcW w:type="dxa" w:w="1152"/>
          </w:tcPr>
          <w:p>
            <w:r>
              <w:t>3.3</w:t>
            </w:r>
          </w:p>
        </w:tc>
      </w:tr>
      <w:tr>
        <w:tc>
          <w:tcPr>
            <w:tcW w:type="dxa" w:w="2448"/>
          </w:tcPr>
          <w:p>
            <w:r>
              <w:t>Repurchase program status</w:t>
            </w:r>
          </w:p>
        </w:tc>
        <w:tc>
          <w:tcPr>
            <w:tcW w:type="dxa" w:w="5760"/>
          </w:tcPr>
          <w:p>
            <w:r>
              <w:t>not typed: no suspension language in 3.1 or 3.3 as of 2025-12-31</w:t>
            </w:r>
          </w:p>
        </w:tc>
        <w:tc>
          <w:tcPr>
            <w:tcW w:type="dxa" w:w="1152"/>
          </w:tcPr>
          <w:p>
            <w:r>
              <w:t>3.1</w:t>
            </w:r>
          </w:p>
        </w:tc>
      </w:tr>
      <w:tr>
        <w:tc>
          <w:tcPr>
            <w:tcW w:type="dxa" w:w="2448"/>
          </w:tcPr>
          <w:p>
            <w:r>
              <w:t>Early repurchase fee</w:t>
            </w:r>
          </w:p>
        </w:tc>
        <w:tc>
          <w:tcPr>
            <w:tcW w:type="dxa" w:w="5760"/>
          </w:tcPr>
          <w:p>
            <w:r>
              <w:t>none at fund level (2.7)</w:t>
            </w:r>
          </w:p>
        </w:tc>
        <w:tc>
          <w:tcPr>
            <w:tcW w:type="dxa" w:w="1152"/>
          </w:tcPr>
          <w:p>
            <w:r>
              <w:t>2.7</w:t>
            </w:r>
          </w:p>
        </w:tc>
      </w:tr>
    </w:tbl>
    <w:p>
      <w:pPr>
        <w:pStyle w:val="Heading2"/>
      </w:pPr>
      <w:r>
        <w:t>Scenario (ILLUSTRATIVE, this plan)</w:t>
      </w:r>
    </w:p>
    <w:p>
      <w:r>
        <w:t>Plan inputs (Form 5500): net assets $565.8M, liquidity tail 36.1% of accounts (1,847 separated participants with balances).</w:t>
      </w:r>
    </w:p>
    <w:p>
      <w:r>
        <w:t>Parameters (adjustable on the site, not facts): allocation 5% of plan = $28.3M, tail turnover 20%/yr, active turnover 5%/yr. Base demand $2.9M/yr = 10.4% of the position vs annual wrapper capacity 20%.</w:t>
      </w:r>
    </w:p>
    <w:p>
      <w:r>
        <w:t>Stressed (tail turnover x2, active turnover x1.5 vs base scenario): demand $5.4M/yr = 19.2% of the position. within wrapper capacity (19.2% vs 20%) IF offers are not prorated.</w:t>
      </w:r>
    </w:p>
    <w:p>
      <w:r>
        <w:t>Scenario verdict (ILLUSTRATIVE, this plan): CONDITIONAL.</w:t>
      </w:r>
    </w:p>
    <w:p>
      <w:pPr>
        <w:pStyle w:val="ListBullet"/>
      </w:pPr>
      <w:r>
        <w:t>Capacity: 5% per quarter on outstanding shares: at most 20% of the position per year. This is a FUND-level cap shared by every holder, so the plan's position is served only while offers are not oversubscribed.</w:t>
      </w:r>
    </w:p>
    <w:p>
      <w:pPr>
        <w:pStyle w:val="ListBullet"/>
      </w:pPr>
      <w:r>
        <w:t>Scenario demand (illustrative): 10.4% of the position per year vs 20% annual wrapper capacity. Adequate headroom at this allocation if offers are not prorated.</w:t>
      </w:r>
    </w:p>
    <w:p>
      <w:pPr>
        <w:pStyle w:val="ListBullet"/>
      </w:pPr>
      <w:r>
        <w:t>Scenario verdict (ILLUSTRATIVE, this plan): conditional. It moves with the sliders and the plan. Proration assumption: an oversubscribed offer is filled pro rata and the unfilled remainder waits for the next window.</w:t>
      </w:r>
    </w:p>
    <w:p>
      <w:pPr>
        <w:pStyle w:val="ListBullet"/>
      </w:pPr>
      <w:r>
        <w:t>Schedule H benefit-payment lines are not yet in the plan record. Demand uses the illustrative turnover sliders only.</w:t>
      </w:r>
    </w:p>
    <w:p>
      <w:r>
        <w:t>Cited: cell 2.7, cell 3.1, cell 3.3, plan: plan_tech_media.json (Form 5500, plan year 2024-01-01 to 2024-12-31).</w:t>
      </w:r>
    </w:p>
    <w:p>
      <w:pPr>
        <w:pStyle w:val="Heading1"/>
      </w:pPr>
      <w:r>
        <w:t>Exhibit C. Fees and terms, typed layer</w:t>
      </w:r>
    </w:p>
    <w:p>
      <w:r>
        <w:t>Each line is the typed fact that cites the cell, or the cell's status word when no fact is typed. Full text and provenance are in the record.</w:t>
      </w:r>
    </w:p>
    <w:tbl>
      <w:tblPr>
        <w:tblStyle w:val="TableGrid"/>
        <w:tblW w:type="auto" w:w="0"/>
        <w:tblLook w:firstColumn="1" w:firstRow="1" w:lastColumn="0" w:lastRow="0" w:noHBand="0" w:noVBand="1" w:val="04A0"/>
      </w:tblPr>
      <w:tblGrid>
        <w:gridCol w:w="3120"/>
        <w:gridCol w:w="3120"/>
        <w:gridCol w:w="3120"/>
      </w:tblGrid>
      <w:tr>
        <w:tc>
          <w:tcPr>
            <w:tcW w:type="dxa" w:w="2880"/>
          </w:tcPr>
          <w:p>
            <w:r>
              <w:t>Cell</w:t>
            </w:r>
          </w:p>
        </w:tc>
        <w:tc>
          <w:tcPr>
            <w:tcW w:type="dxa" w:w="3600"/>
          </w:tcPr>
          <w:p>
            <w:r>
              <w:t>Typed headline</w:t>
            </w:r>
          </w:p>
        </w:tc>
        <w:tc>
          <w:tcPr>
            <w:tcW w:type="dxa" w:w="2880"/>
          </w:tcPr>
          <w:p>
            <w:r>
              <w:t>Status</w:t>
            </w:r>
          </w:p>
        </w:tc>
      </w:tr>
      <w:tr>
        <w:tc>
          <w:tcPr>
            <w:tcW w:type="dxa" w:w="2880"/>
          </w:tcPr>
          <w:p>
            <w:r>
              <w:t>2.1 Management fee (rate AND base)</w:t>
            </w:r>
          </w:p>
        </w:tc>
        <w:tc>
          <w:tcPr>
            <w:tcW w:type="dxa" w:w="3600"/>
          </w:tcPr>
          <w:p>
            <w:r>
              <w:t>1.25% on net assets</w:t>
            </w:r>
          </w:p>
        </w:tc>
        <w:tc>
          <w:tcPr>
            <w:tcW w:type="dxa" w:w="2880"/>
          </w:tcPr>
          <w:p>
            <w:r>
              <w:t>extracted-unverified</w:t>
            </w:r>
          </w:p>
        </w:tc>
      </w:tr>
      <w:tr>
        <w:tc>
          <w:tcPr>
            <w:tcW w:type="dxa" w:w="2880"/>
          </w:tcPr>
          <w:p>
            <w:r>
              <w:t>2.2 Incentive fee terms</w:t>
            </w:r>
          </w:p>
        </w:tc>
        <w:tc>
          <w:tcPr>
            <w:tcW w:type="dxa" w:w="3600"/>
          </w:tcPr>
          <w:p>
            <w:r>
              <w:t>incentive fee: 12.5% / 5% hurdle</w:t>
            </w:r>
          </w:p>
        </w:tc>
        <w:tc>
          <w:tcPr>
            <w:tcW w:type="dxa" w:w="2880"/>
          </w:tcPr>
          <w:p>
            <w:r>
              <w:t>extracted-unverified</w:t>
            </w:r>
          </w:p>
        </w:tc>
      </w:tr>
      <w:tr>
        <w:tc>
          <w:tcPr>
            <w:tcW w:type="dxa" w:w="2880"/>
          </w:tcPr>
          <w:p>
            <w:r>
              <w:t>2.3 Total expense ratio &amp; waivers</w:t>
            </w:r>
          </w:p>
        </w:tc>
        <w:tc>
          <w:tcPr>
            <w:tcW w:type="dxa" w:w="3600"/>
          </w:tcPr>
          <w:p>
            <w:r>
              <w:t>8.40% expense ratio, net, including the interest and financing cost of BDC leverage (FY2025, Class I)</w:t>
            </w:r>
          </w:p>
        </w:tc>
        <w:tc>
          <w:tcPr>
            <w:tcW w:type="dxa" w:w="2880"/>
          </w:tcPr>
          <w:p>
            <w:r>
              <w:t>extracted-unverified</w:t>
            </w:r>
          </w:p>
        </w:tc>
      </w:tr>
      <w:tr>
        <w:tc>
          <w:tcPr>
            <w:tcW w:type="dxa" w:w="2880"/>
          </w:tcPr>
          <w:p>
            <w:r>
              <w:t>2.4 AFFE</w:t>
            </w:r>
          </w:p>
        </w:tc>
        <w:tc>
          <w:tcPr>
            <w:tcW w:type="dxa" w:w="3600"/>
          </w:tcPr>
          <w:p>
            <w:r>
              <w:t>AFFE 0.00%</w:t>
            </w:r>
          </w:p>
        </w:tc>
        <w:tc>
          <w:tcPr>
            <w:tcW w:type="dxa" w:w="2880"/>
          </w:tcPr>
          <w:p>
            <w:r>
              <w:t>extracted-unverified</w:t>
            </w:r>
          </w:p>
        </w:tc>
      </w:tr>
      <w:tr>
        <w:tc>
          <w:tcPr>
            <w:tcW w:type="dxa" w:w="2880"/>
          </w:tcPr>
          <w:p>
            <w:r>
              <w:t>2.6 Loads &amp; servicing fees</w:t>
            </w:r>
          </w:p>
        </w:tc>
        <w:tc>
          <w:tcPr>
            <w:tcW w:type="dxa" w:w="3600"/>
          </w:tcPr>
          <w:p>
            <w:r>
              <w:t>no typed fact for this cell</w:t>
            </w:r>
          </w:p>
        </w:tc>
        <w:tc>
          <w:tcPr>
            <w:tcW w:type="dxa" w:w="2880"/>
          </w:tcPr>
          <w:p>
            <w:r>
              <w:t>extracted-unverified</w:t>
            </w:r>
          </w:p>
        </w:tc>
      </w:tr>
      <w:tr>
        <w:tc>
          <w:tcPr>
            <w:tcW w:type="dxa" w:w="2880"/>
          </w:tcPr>
          <w:p>
            <w:r>
              <w:t>2.7 Early repurchase fee</w:t>
            </w:r>
          </w:p>
        </w:tc>
        <w:tc>
          <w:tcPr>
            <w:tcW w:type="dxa" w:w="3600"/>
          </w:tcPr>
          <w:p>
            <w:r>
              <w:t>early repurchase fee: none</w:t>
            </w:r>
          </w:p>
        </w:tc>
        <w:tc>
          <w:tcPr>
            <w:tcW w:type="dxa" w:w="2880"/>
          </w:tcPr>
          <w:p>
            <w:r>
              <w:t>extracted-unverified</w:t>
            </w:r>
          </w:p>
        </w:tc>
      </w:tr>
      <w:tr>
        <w:tc>
          <w:tcPr>
            <w:tcW w:type="dxa" w:w="2880"/>
          </w:tcPr>
          <w:p>
            <w:r>
              <w:t>6.4 Tax reporting (1099 vs K-1)</w:t>
            </w:r>
          </w:p>
        </w:tc>
        <w:tc>
          <w:tcPr>
            <w:tcW w:type="dxa" w:w="3600"/>
          </w:tcPr>
          <w:p>
            <w:r>
              <w:t>Form 1099</w:t>
            </w:r>
          </w:p>
        </w:tc>
        <w:tc>
          <w:tcPr>
            <w:tcW w:type="dxa" w:w="2880"/>
          </w:tcPr>
          <w:p>
            <w:r>
              <w:t>extracted-unverified</w:t>
            </w:r>
          </w:p>
        </w:tc>
      </w:tr>
    </w:tbl>
    <w:p>
      <w:pPr>
        <w:pStyle w:val="Heading1"/>
      </w:pPr>
      <w:r>
        <w:t>Exhibit D. Peer cohort placement</w:t>
      </w:r>
    </w:p>
    <w:p>
      <w:r>
        <w:t>Cohort Private credit (interval fund + non-traded BDC) (n=5). Perpetual non-traded BDC running quarterly 13e-4 tenders, bcred's closest structural twin. Admitted via the census promotion pipeline (46 SC TO-I filings as T1 cadence evidence, Owl Rock -&gt; Blue Owl rename verified in the SEC record).</w:t>
      </w:r>
    </w:p>
    <w:p>
      <w:r>
        <w:t>Cohort placement (private credit cohort): mgmt fee: 50th percentile of cohort (n=5), at the median of 1.25 | expense ratio (bases differ, see notes): 90th percentile of cohort (n=5), above the median of 3.76 | repurchase cap: 50th percentile of cohort (n=5), at the median of 5. Statistics and per-member values are in the cohort artifact, membership rationales in the typed facts.</w:t>
      </w:r>
    </w:p>
    <w:p>
      <w:pPr>
        <w:pStyle w:val="ListBullet"/>
      </w:pPr>
      <w:r>
        <w:t>LEVERAGE-REGIME MIX: BDC 150% coverage and non-1940-Act wrappers allow materially more leverage than 1940-Act funds. Fee bases and return volatility are not like-for-like. [typed per product: bcred: BDC 150% asset-coverage regime, cion_ares: 1940-Act asset-coverage limits, cliffwater_cclfx: 1940-Act asset-coverage limits, ocic: BDC 150% asset-coverage regime, pflex: 1940-Act asset-coverage limits]</w:t>
      </w:r>
    </w:p>
    <w:p>
      <w:pPr>
        <w:pStyle w:val="ListBullet"/>
      </w:pPr>
      <w:r>
        <w:t>LIQUIDITY-LAW MIX: Rule 23c-3 obligations, discretionary tenders, and repurchase plans give different worst-case exit rights. Cadence numbers alone overstate comparability. [by wrapper type: bcred: board-discretionary share repurchases, cion_ares: Rule 23c-3 OBLIGATION (board cannot skip a window), cliffwater_cclfx: Rule 23c-3 OBLIGATION (board cannot skip a window), ocic: board-discretionary share repurchases, pflex: Rule 23c-3 OBLIGATION (board cannot skip a window)]</w:t>
      </w:r>
    </w:p>
    <w:p>
      <w:pPr>
        <w:pStyle w:val="ListBullet"/>
      </w:pPr>
      <w:r>
        <w:t>NAV-CADENCE MIX: daily, monthly, and quarterly NAV processes embed different appraisal smoothing. Volatility and drawdown comparisons inherit that difference (see de-smoothing lab). [typed per product: bcred: monthly, cion_ares: daily, cliffwater_cclfx: daily, ocic: quarterly, pflex: daily]</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media/technology company 401(k) plan (~$570M, New York).</w:t>
      </w:r>
    </w:p>
    <w:p>
      <w:pPr>
        <w:pStyle w:val="Heading1"/>
      </w:pPr>
      <w:r>
        <w:t>Provenance</w:t>
      </w:r>
    </w:p>
    <w:p>
      <w:r>
        <w:t>Cell status for this product: structured 0, extracted-unverified 26, verified 0, computed 8, partial 9, fetched 1, n/a 10, pending 0.</w:t>
      </w:r>
    </w:p>
    <w:p>
      <w:r>
        <w:t>Regulatory basis: Fiduciary Duties in Selecting Designated Investment Alternatives, 91 FR 16088 (Mar. 31, 2026), RIN 1210-AC38, proposed 29 CFR 2550.404a-6, paragraphs (g) to (l), cited not paraphrased. Every figure above is a cited cell, a typed projection of one, or an engine artifact of the record as of 2026-09-04. Scenario figures are ILLUSTRATIVE. The plan is shown under its anonymized label.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