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PIMCO Flexible Credit Income Fund (TRUE interval fund (Rule 23c-3), flexible credit, CIK 1688554)</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Senior loan investable proxy (BKLN, for Morningstar LSTA class) at 9/12, KS-PME 1.1089, Direct Alpha 1.3%/yr over 2018-07-18 to 2026-07-17.</w:t>
      </w:r>
    </w:p>
    <w:p>
      <w:r>
        <w:t>Flags raised by the record (each restates a typed value or verdict, with its source):</w:t>
      </w:r>
    </w:p>
    <w:p>
      <w:pPr>
        <w:pStyle w:val="ListBullet"/>
      </w:pPr>
      <w:r>
        <w:t>none</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Senior loan investable proxy (BKLN, for Morningstar LSTA class)</w:t>
            </w:r>
          </w:p>
        </w:tc>
        <w:tc>
          <w:tcPr>
            <w:tcW w:type="dxa" w:w="864"/>
          </w:tcPr>
          <w:p>
            <w:r>
              <w:t>9/12</w:t>
            </w:r>
          </w:p>
        </w:tc>
        <w:tc>
          <w:tcPr>
            <w:tcW w:type="dxa" w:w="3888"/>
          </w:tcPr>
          <w:p>
            <w:r>
              <w:t>KS-PME 1.1089, Direct Alpha 1.3%/yr, 2018-07-18 to 2026-07-17</w:t>
            </w:r>
          </w:p>
        </w:tc>
      </w:tr>
      <w:tr>
        <w:tc>
          <w:tcPr>
            <w:tcW w:type="dxa" w:w="1152"/>
          </w:tcPr>
          <w:p>
            <w:r>
              <w:t>secondary</w:t>
            </w:r>
          </w:p>
        </w:tc>
        <w:tc>
          <w:tcPr>
            <w:tcW w:type="dxa" w:w="3456"/>
          </w:tcPr>
          <w:p>
            <w:r>
              <w:t>Peer composite, private credit cohort without PIMCO Flexible Credit Income Fund (members: Blackstone Private Credit Fund, CION Ares Diversified Credit Fund, Cliffwater Corporate Lending Fund, Blue Owl Credit Income Corp.)</w:t>
            </w:r>
          </w:p>
        </w:tc>
        <w:tc>
          <w:tcPr>
            <w:tcW w:type="dxa" w:w="864"/>
          </w:tcPr>
          <w:p>
            <w:r>
              <w:t>8/12</w:t>
            </w:r>
          </w:p>
        </w:tc>
        <w:tc>
          <w:tcPr>
            <w:tcW w:type="dxa" w:w="3888"/>
          </w:tcPr>
          <w:p>
            <w:r>
              <w:t>relative wealth ratio 0.9799 vs the peer composite, annualized excess return -0.41%/yr (not a public market equivalent), FY2021 to FY2025</w:t>
            </w:r>
          </w:p>
        </w:tc>
      </w:tr>
      <w:tr>
        <w:tc>
          <w:tcPr>
            <w:tcW w:type="dxa" w:w="1152"/>
          </w:tcPr>
          <w:p>
            <w:r>
              <w:t>rejected</w:t>
            </w:r>
          </w:p>
        </w:tc>
        <w:tc>
          <w:tcPr>
            <w:tcW w:type="dxa" w:w="3456"/>
          </w:tcPr>
          <w:p>
            <w:r>
              <w:t>Cliffwater Direct Lending Index (CDLI)</w:t>
            </w:r>
          </w:p>
        </w:tc>
        <w:tc>
          <w:tcPr>
            <w:tcW w:type="dxa" w:w="864"/>
          </w:tcPr>
          <w:p>
            <w:r>
              <w:t>6/12</w:t>
            </w:r>
          </w:p>
        </w:tc>
        <w:tc>
          <w:tcPr>
            <w:tcW w:type="dxa" w:w="3888"/>
          </w:tcPr>
          <w:p>
            <w:r>
              <w:t>score 6/12 below primary threshold 7</w:t>
            </w:r>
          </w:p>
        </w:tc>
      </w:tr>
    </w:tbl>
    <w:p>
      <w:pPr>
        <w:pStyle w:val="Heading1"/>
      </w:pPr>
      <w:r>
        <w:t>Exhibit B. Liquidity match for this plan</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2025-06-30</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1.30% on the lesser of two bases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1.97% expense ratio, excluding interest expense (5.12% including reverse-repo interest), gross equals net, no waivers (FY2025, Institutional)</w:t>
            </w:r>
          </w:p>
        </w:tc>
        <w:tc>
          <w:tcPr>
            <w:tcW w:type="dxa" w:w="2880"/>
          </w:tcPr>
          <w:p>
            <w:r>
              <w:t>extracted-unverified</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Flexible multi-sector credit in the SAME wrapper as cclfx (interval, quarterly 5%). A wrapper twin with a broader credit mandate (loans, structured, EM). Mandate breadth is the disclosed mismatch.</w:t>
      </w:r>
    </w:p>
    <w:p>
      <w:r>
        <w:t>Cohort placement (private credit cohort): mgmt fee: 90th percentile of cohort (n=5), above the median of 1.25 | expense ratio (bases differ, see notes): 30th percentile of cohort (n=5), below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27, verified 0, computed 12, partial 2,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